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4A55" w14:textId="28866D5B" w:rsidR="00E90E49" w:rsidRPr="008D4DB6" w:rsidRDefault="00E90E49" w:rsidP="00E35559">
      <w:pPr>
        <w:pStyle w:val="3GPPHeader"/>
        <w:spacing w:after="60"/>
        <w:rPr>
          <w:sz w:val="32"/>
          <w:szCs w:val="32"/>
          <w:lang w:val="sv-SE"/>
        </w:rPr>
      </w:pPr>
      <w:r w:rsidRPr="00496571">
        <w:rPr>
          <w:lang w:val="sv-SE"/>
        </w:rPr>
        <w:t>3GPP TSG-RAN WG</w:t>
      </w:r>
      <w:r w:rsidR="00AD0662" w:rsidRPr="00496571">
        <w:rPr>
          <w:lang w:val="sv-SE"/>
        </w:rPr>
        <w:t>2</w:t>
      </w:r>
      <w:r w:rsidRPr="00496571">
        <w:rPr>
          <w:lang w:val="sv-SE"/>
        </w:rPr>
        <w:t>#</w:t>
      </w:r>
      <w:r w:rsidR="00AD0662" w:rsidRPr="00496571">
        <w:rPr>
          <w:lang w:val="sv-SE"/>
        </w:rPr>
        <w:t>10</w:t>
      </w:r>
      <w:r w:rsidR="008A5B04">
        <w:rPr>
          <w:lang w:val="sv-SE"/>
        </w:rPr>
        <w:t>8</w:t>
      </w:r>
      <w:r w:rsidRPr="00496571">
        <w:rPr>
          <w:lang w:val="sv-SE"/>
        </w:rPr>
        <w:tab/>
      </w:r>
      <w:r w:rsidR="00091557" w:rsidRPr="00496571">
        <w:rPr>
          <w:sz w:val="32"/>
          <w:szCs w:val="32"/>
          <w:lang w:val="sv-SE"/>
        </w:rPr>
        <w:t>R2-</w:t>
      </w:r>
      <w:r w:rsidR="005F3025" w:rsidRPr="00A153F0">
        <w:rPr>
          <w:sz w:val="32"/>
          <w:szCs w:val="32"/>
          <w:lang w:val="sv-SE"/>
        </w:rPr>
        <w:t>1</w:t>
      </w:r>
      <w:r w:rsidR="00343A59" w:rsidRPr="00A153F0">
        <w:rPr>
          <w:sz w:val="32"/>
          <w:szCs w:val="32"/>
          <w:lang w:val="sv-SE"/>
        </w:rPr>
        <w:t>9</w:t>
      </w:r>
      <w:r w:rsidR="00496571" w:rsidRPr="00A153F0">
        <w:rPr>
          <w:sz w:val="32"/>
          <w:szCs w:val="32"/>
          <w:lang w:val="sv-SE"/>
        </w:rPr>
        <w:t>1</w:t>
      </w:r>
      <w:r w:rsidR="00A153F0" w:rsidRPr="00A153F0">
        <w:rPr>
          <w:sz w:val="32"/>
          <w:szCs w:val="32"/>
          <w:lang w:val="sv-SE"/>
        </w:rPr>
        <w:t>5371</w:t>
      </w:r>
    </w:p>
    <w:p w14:paraId="19ED058F" w14:textId="19FB2669" w:rsidR="00672C15" w:rsidRPr="00672C15" w:rsidRDefault="008A5B04" w:rsidP="00672C15">
      <w:pPr>
        <w:pStyle w:val="3GPPHeader"/>
      </w:pPr>
      <w:r>
        <w:rPr>
          <w:noProof/>
        </w:rPr>
        <w:t>Reno</w:t>
      </w:r>
      <w:r w:rsidRPr="00E35BCD">
        <w:rPr>
          <w:noProof/>
        </w:rPr>
        <w:t xml:space="preserve">, </w:t>
      </w:r>
      <w:r>
        <w:rPr>
          <w:noProof/>
        </w:rPr>
        <w:t>USA</w:t>
      </w:r>
      <w:r w:rsidRPr="00E35BCD">
        <w:rPr>
          <w:noProof/>
        </w:rPr>
        <w:t xml:space="preserve">, </w:t>
      </w:r>
      <w:r>
        <w:rPr>
          <w:noProof/>
        </w:rPr>
        <w:t>18</w:t>
      </w:r>
      <w:r w:rsidRPr="00E35BCD">
        <w:rPr>
          <w:noProof/>
        </w:rPr>
        <w:t xml:space="preserve">th – </w:t>
      </w:r>
      <w:r>
        <w:rPr>
          <w:noProof/>
        </w:rPr>
        <w:t>22nd</w:t>
      </w:r>
      <w:r w:rsidRPr="00E35BCD">
        <w:rPr>
          <w:noProof/>
        </w:rPr>
        <w:t xml:space="preserve"> </w:t>
      </w:r>
      <w:r>
        <w:rPr>
          <w:noProof/>
        </w:rPr>
        <w:t xml:space="preserve">November </w:t>
      </w:r>
      <w:r w:rsidRPr="00E35BCD">
        <w:rPr>
          <w:noProof/>
        </w:rPr>
        <w:t>2019</w:t>
      </w:r>
      <w:r w:rsidR="00672C15" w:rsidRPr="00672C15">
        <w:tab/>
      </w:r>
    </w:p>
    <w:p w14:paraId="587F5280" w14:textId="77777777" w:rsidR="00E90E49" w:rsidRPr="00CE0424" w:rsidRDefault="00E90E49" w:rsidP="00357380">
      <w:pPr>
        <w:pStyle w:val="3GPPHeader"/>
      </w:pPr>
    </w:p>
    <w:p w14:paraId="278CDBEF" w14:textId="3856C824" w:rsidR="00E90E49" w:rsidRPr="00782680" w:rsidRDefault="00E90E49" w:rsidP="00311702">
      <w:pPr>
        <w:pStyle w:val="3GPPHeader"/>
        <w:rPr>
          <w:sz w:val="22"/>
          <w:szCs w:val="22"/>
          <w:lang w:val="en-US"/>
        </w:rPr>
      </w:pPr>
      <w:r w:rsidRPr="00782680">
        <w:rPr>
          <w:sz w:val="22"/>
          <w:szCs w:val="22"/>
          <w:lang w:val="en-US"/>
        </w:rPr>
        <w:t>Agenda Item:</w:t>
      </w:r>
      <w:r w:rsidRPr="00782680">
        <w:rPr>
          <w:sz w:val="22"/>
          <w:szCs w:val="22"/>
          <w:lang w:val="en-US"/>
        </w:rPr>
        <w:tab/>
      </w:r>
      <w:r w:rsidR="008A5B04">
        <w:rPr>
          <w:sz w:val="22"/>
          <w:szCs w:val="22"/>
          <w:lang w:val="en-US"/>
        </w:rPr>
        <w:t>6</w:t>
      </w:r>
      <w:r w:rsidR="0050005B" w:rsidRPr="0050005B">
        <w:rPr>
          <w:sz w:val="22"/>
          <w:szCs w:val="22"/>
          <w:lang w:val="en-US"/>
        </w:rPr>
        <w:t>.10</w:t>
      </w:r>
      <w:r w:rsidR="00183043">
        <w:rPr>
          <w:sz w:val="22"/>
          <w:szCs w:val="22"/>
          <w:lang w:val="en-US"/>
        </w:rPr>
        <w:t>.</w:t>
      </w:r>
      <w:r w:rsidR="008A5B04">
        <w:rPr>
          <w:sz w:val="22"/>
          <w:szCs w:val="22"/>
          <w:lang w:val="en-US"/>
        </w:rPr>
        <w:t>7</w:t>
      </w:r>
    </w:p>
    <w:p w14:paraId="61DE14B9" w14:textId="1180A3C4" w:rsidR="00E90E49" w:rsidRPr="00413B5A" w:rsidRDefault="003D3C45" w:rsidP="00F64C2B">
      <w:pPr>
        <w:pStyle w:val="3GPPHeader"/>
        <w:rPr>
          <w:sz w:val="22"/>
          <w:szCs w:val="22"/>
        </w:rPr>
      </w:pPr>
      <w:r w:rsidRPr="00413B5A">
        <w:rPr>
          <w:sz w:val="22"/>
          <w:szCs w:val="22"/>
        </w:rPr>
        <w:t>Source:</w:t>
      </w:r>
      <w:r w:rsidR="00E90E49" w:rsidRPr="00413B5A">
        <w:rPr>
          <w:sz w:val="22"/>
          <w:szCs w:val="22"/>
        </w:rPr>
        <w:tab/>
      </w:r>
      <w:r w:rsidR="00F64C2B" w:rsidRPr="00496571">
        <w:rPr>
          <w:sz w:val="22"/>
          <w:szCs w:val="22"/>
        </w:rPr>
        <w:t>Ericsson</w:t>
      </w:r>
    </w:p>
    <w:p w14:paraId="1FCDE031" w14:textId="3719B2DC" w:rsidR="00E90E49" w:rsidRPr="00413B5A" w:rsidRDefault="003D3C45" w:rsidP="00311702">
      <w:pPr>
        <w:pStyle w:val="3GPPHeader"/>
        <w:rPr>
          <w:sz w:val="22"/>
          <w:szCs w:val="22"/>
        </w:rPr>
      </w:pPr>
      <w:r w:rsidRPr="00413B5A">
        <w:rPr>
          <w:sz w:val="22"/>
          <w:szCs w:val="22"/>
        </w:rPr>
        <w:t>Title:</w:t>
      </w:r>
      <w:r w:rsidR="00211788">
        <w:rPr>
          <w:sz w:val="22"/>
          <w:szCs w:val="22"/>
        </w:rPr>
        <w:tab/>
      </w:r>
      <w:bookmarkStart w:id="0" w:name="_Hlk23944151"/>
      <w:r w:rsidR="00F76C9E">
        <w:rPr>
          <w:sz w:val="22"/>
          <w:szCs w:val="22"/>
        </w:rPr>
        <w:t>U</w:t>
      </w:r>
      <w:r w:rsidR="00F76C9E" w:rsidRPr="00F76C9E">
        <w:rPr>
          <w:sz w:val="22"/>
          <w:szCs w:val="22"/>
        </w:rPr>
        <w:t xml:space="preserve">naligned frame boundary </w:t>
      </w:r>
      <w:bookmarkEnd w:id="0"/>
      <w:r w:rsidR="00F76C9E" w:rsidRPr="00F76C9E">
        <w:rPr>
          <w:sz w:val="22"/>
          <w:szCs w:val="22"/>
        </w:rPr>
        <w:t>with slot alignment and partial SFN alignment</w:t>
      </w:r>
    </w:p>
    <w:p w14:paraId="381E6941" w14:textId="3C7EED0B" w:rsidR="00E90E49" w:rsidRPr="00CE0424" w:rsidRDefault="00E90E49" w:rsidP="00D546FF">
      <w:pPr>
        <w:pStyle w:val="3GPPHeader"/>
        <w:rPr>
          <w:sz w:val="22"/>
          <w:szCs w:val="22"/>
        </w:rPr>
      </w:pPr>
      <w:r w:rsidRPr="00413B5A">
        <w:rPr>
          <w:sz w:val="22"/>
          <w:szCs w:val="22"/>
        </w:rPr>
        <w:t>Document for:</w:t>
      </w:r>
      <w:r w:rsidRPr="00413B5A">
        <w:rPr>
          <w:sz w:val="22"/>
          <w:szCs w:val="22"/>
        </w:rPr>
        <w:tab/>
        <w:t>Discussion, Decisio</w:t>
      </w:r>
      <w:r w:rsidR="00333676">
        <w:rPr>
          <w:sz w:val="22"/>
          <w:szCs w:val="22"/>
        </w:rPr>
        <w:t>n</w:t>
      </w:r>
    </w:p>
    <w:p w14:paraId="26760793" w14:textId="1779BDEF" w:rsidR="00E90E49" w:rsidRDefault="00230D18" w:rsidP="00CE0424">
      <w:pPr>
        <w:pStyle w:val="Heading1"/>
      </w:pPr>
      <w:r>
        <w:t>1</w:t>
      </w:r>
      <w:r>
        <w:tab/>
      </w:r>
      <w:r w:rsidR="00E90E49" w:rsidRPr="00CE0424">
        <w:t>Introduction</w:t>
      </w:r>
    </w:p>
    <w:p w14:paraId="22953D0A" w14:textId="749518FA" w:rsidR="008A5B04" w:rsidRPr="00E418CB" w:rsidRDefault="008A5B04" w:rsidP="00930895">
      <w:pPr>
        <w:pStyle w:val="BodyText"/>
      </w:pPr>
      <w:bookmarkStart w:id="1" w:name="_Ref178064866"/>
      <w:r w:rsidRPr="00E418CB">
        <w:t>I</w:t>
      </w:r>
      <w:r w:rsidRPr="00E418CB">
        <w:rPr>
          <w:rFonts w:hint="eastAsia"/>
        </w:rPr>
        <w:t xml:space="preserve">n </w:t>
      </w:r>
      <w:r w:rsidRPr="00E418CB">
        <w:t xml:space="preserve">RAN#85, RAN approved </w:t>
      </w:r>
      <w:r w:rsidR="001A51C5" w:rsidRPr="00E418CB">
        <w:t xml:space="preserve">some updates for </w:t>
      </w:r>
      <w:r w:rsidRPr="00E418CB">
        <w:t xml:space="preserve">DC and CA enhancements [1], </w:t>
      </w:r>
      <w:r w:rsidR="001A51C5" w:rsidRPr="00E418CB">
        <w:t xml:space="preserve">including the </w:t>
      </w:r>
      <w:r w:rsidRPr="00E418CB">
        <w:t>additional objective:</w:t>
      </w:r>
    </w:p>
    <w:tbl>
      <w:tblPr>
        <w:tblStyle w:val="TableGrid"/>
        <w:tblW w:w="0" w:type="auto"/>
        <w:tblLook w:val="04A0" w:firstRow="1" w:lastRow="0" w:firstColumn="1" w:lastColumn="0" w:noHBand="0" w:noVBand="1"/>
      </w:tblPr>
      <w:tblGrid>
        <w:gridCol w:w="9629"/>
      </w:tblGrid>
      <w:tr w:rsidR="008A5B04" w14:paraId="0997AA69" w14:textId="77777777" w:rsidTr="005A6A05">
        <w:tc>
          <w:tcPr>
            <w:tcW w:w="9855" w:type="dxa"/>
          </w:tcPr>
          <w:p w14:paraId="52537762" w14:textId="77777777" w:rsidR="008A5B04" w:rsidRPr="00E418CB" w:rsidRDefault="008A5B04" w:rsidP="008A5B04">
            <w:pPr>
              <w:numPr>
                <w:ilvl w:val="0"/>
                <w:numId w:val="28"/>
              </w:numPr>
              <w:spacing w:after="0"/>
              <w:contextualSpacing/>
              <w:rPr>
                <w:rFonts w:eastAsia="DengXian"/>
                <w:bCs/>
                <w:lang w:val="en-US" w:eastAsia="fi-FI"/>
              </w:rPr>
            </w:pPr>
            <w:r w:rsidRPr="00E418CB">
              <w:rPr>
                <w:rFonts w:eastAsia="DengXian"/>
                <w:bCs/>
                <w:lang w:val="en-US" w:eastAsia="zh-CN"/>
              </w:rPr>
              <w:t>I</w:t>
            </w:r>
            <w:r w:rsidRPr="00E418CB">
              <w:rPr>
                <w:rFonts w:eastAsia="DengXian" w:hint="eastAsia"/>
                <w:bCs/>
                <w:lang w:val="en-US" w:eastAsia="zh-CN"/>
              </w:rPr>
              <w:t xml:space="preserve">ntroduce support for </w:t>
            </w:r>
            <w:r w:rsidRPr="00E418CB">
              <w:rPr>
                <w:rFonts w:eastAsia="SimSun" w:hint="eastAsia"/>
                <w:szCs w:val="24"/>
                <w:lang w:val="en-US" w:eastAsia="fi-FI"/>
              </w:rPr>
              <w:t xml:space="preserve">unaligned frame boundary </w:t>
            </w:r>
            <w:r w:rsidRPr="00E418CB">
              <w:rPr>
                <w:rFonts w:eastAsia="SimSun" w:hint="eastAsia"/>
                <w:szCs w:val="24"/>
                <w:lang w:val="en-US" w:eastAsia="zh-CN"/>
              </w:rPr>
              <w:t xml:space="preserve">with slot alignment and partial SFN alignment </w:t>
            </w:r>
            <w:r w:rsidRPr="00E418CB">
              <w:rPr>
                <w:rFonts w:eastAsia="SimSun" w:hint="eastAsia"/>
                <w:szCs w:val="24"/>
                <w:lang w:val="en-US" w:eastAsia="fi-FI"/>
              </w:rPr>
              <w:t xml:space="preserve">for R16 NR </w:t>
            </w:r>
            <w:r w:rsidRPr="00E418CB">
              <w:rPr>
                <w:rFonts w:eastAsia="SimSun" w:hint="eastAsia"/>
                <w:szCs w:val="24"/>
                <w:lang w:val="en-US" w:eastAsia="zh-CN"/>
              </w:rPr>
              <w:t xml:space="preserve">inter-band </w:t>
            </w:r>
            <w:r w:rsidRPr="00E418CB">
              <w:rPr>
                <w:rFonts w:eastAsia="SimSun" w:hint="eastAsia"/>
                <w:szCs w:val="24"/>
                <w:lang w:val="en-US" w:eastAsia="fi-FI"/>
              </w:rPr>
              <w:t>CA</w:t>
            </w:r>
            <w:r w:rsidRPr="00E418CB">
              <w:rPr>
                <w:rFonts w:eastAsia="SimSun" w:hint="eastAsia"/>
                <w:szCs w:val="24"/>
                <w:lang w:val="en-US" w:eastAsia="zh-CN"/>
              </w:rPr>
              <w:t xml:space="preserve"> [RAN1, RAN2]</w:t>
            </w:r>
          </w:p>
          <w:p w14:paraId="6717C0C4" w14:textId="77777777" w:rsidR="008A5B04" w:rsidRPr="00E418CB" w:rsidRDefault="008A5B04" w:rsidP="008A5B04">
            <w:pPr>
              <w:numPr>
                <w:ilvl w:val="1"/>
                <w:numId w:val="28"/>
              </w:numPr>
              <w:spacing w:after="0"/>
              <w:jc w:val="both"/>
              <w:rPr>
                <w:rFonts w:eastAsia="DengXian"/>
                <w:bCs/>
                <w:lang w:val="en-US" w:eastAsia="zh-CN"/>
              </w:rPr>
            </w:pPr>
            <w:r w:rsidRPr="00E418CB">
              <w:rPr>
                <w:rFonts w:eastAsia="DengXian"/>
                <w:bCs/>
                <w:lang w:val="en-US"/>
              </w:rPr>
              <w:t>M</w:t>
            </w:r>
            <w:r w:rsidRPr="00E418CB">
              <w:rPr>
                <w:rFonts w:eastAsia="DengXian" w:hint="eastAsia"/>
                <w:bCs/>
                <w:lang w:val="en-US"/>
              </w:rPr>
              <w:t xml:space="preserve">isalignment should be limited to </w:t>
            </w:r>
            <w:r w:rsidRPr="00E418CB">
              <w:rPr>
                <w:rFonts w:eastAsia="DengXian" w:hint="eastAsia"/>
                <w:bCs/>
                <w:lang w:val="en-US"/>
              </w:rPr>
              <w:t>±</w:t>
            </w:r>
            <w:r w:rsidRPr="00E418CB">
              <w:rPr>
                <w:rFonts w:eastAsia="DengXian" w:hint="eastAsia"/>
                <w:bCs/>
                <w:lang w:val="en-US"/>
              </w:rPr>
              <w:t>76800Ts</w:t>
            </w:r>
          </w:p>
          <w:p w14:paraId="154B1B10" w14:textId="77777777" w:rsidR="008A5B04" w:rsidRPr="00E418CB" w:rsidRDefault="008A5B04" w:rsidP="008A5B04">
            <w:pPr>
              <w:numPr>
                <w:ilvl w:val="1"/>
                <w:numId w:val="28"/>
              </w:numPr>
              <w:spacing w:after="0"/>
              <w:jc w:val="both"/>
              <w:rPr>
                <w:rFonts w:eastAsia="DengXian"/>
                <w:bCs/>
                <w:lang w:val="en-US" w:eastAsia="zh-CN"/>
              </w:rPr>
            </w:pPr>
            <w:r w:rsidRPr="00E418CB">
              <w:rPr>
                <w:rFonts w:eastAsia="DengXian"/>
                <w:bCs/>
                <w:lang w:val="en-US" w:eastAsia="zh-CN"/>
              </w:rPr>
              <w:t>S</w:t>
            </w:r>
            <w:r w:rsidRPr="00E418CB">
              <w:rPr>
                <w:rFonts w:eastAsia="DengXian" w:hint="eastAsia"/>
                <w:bCs/>
                <w:lang w:val="en-US" w:eastAsia="zh-CN"/>
              </w:rPr>
              <w:t>ignaling support for slot offset if necessary</w:t>
            </w:r>
          </w:p>
          <w:p w14:paraId="7D59F1F3" w14:textId="77777777" w:rsidR="008A5B04" w:rsidRPr="00E418CB" w:rsidRDefault="008A5B04" w:rsidP="005A6A05">
            <w:pPr>
              <w:spacing w:after="0"/>
              <w:jc w:val="both"/>
              <w:rPr>
                <w:rFonts w:eastAsia="DengXian"/>
                <w:bCs/>
                <w:lang w:val="en-US" w:eastAsia="zh-CN"/>
              </w:rPr>
            </w:pPr>
            <w:r w:rsidRPr="00E418CB">
              <w:rPr>
                <w:rFonts w:eastAsia="DengXian" w:hint="eastAsia"/>
                <w:bCs/>
                <w:lang w:val="en-US"/>
              </w:rPr>
              <w:t xml:space="preserve">Note: </w:t>
            </w:r>
            <w:r w:rsidRPr="00E418CB">
              <w:rPr>
                <w:rFonts w:eastAsia="DengXian"/>
                <w:bCs/>
                <w:lang w:val="en-US"/>
              </w:rPr>
              <w:t>U</w:t>
            </w:r>
            <w:r w:rsidRPr="00E418CB">
              <w:rPr>
                <w:rFonts w:eastAsia="DengXian" w:hint="eastAsia"/>
                <w:bCs/>
                <w:lang w:val="en-US"/>
              </w:rPr>
              <w:t>naligned frame boundary is only allowed for certain band combination</w:t>
            </w:r>
          </w:p>
          <w:p w14:paraId="7EA3FFDE" w14:textId="77777777" w:rsidR="008A5B04" w:rsidRPr="00E418CB" w:rsidRDefault="008A5B04" w:rsidP="005A6A05">
            <w:pPr>
              <w:spacing w:after="0"/>
              <w:jc w:val="both"/>
              <w:rPr>
                <w:rFonts w:eastAsia="DengXian"/>
                <w:bCs/>
                <w:lang w:val="en-US" w:eastAsia="zh-CN"/>
              </w:rPr>
            </w:pPr>
            <w:r w:rsidRPr="00E418CB">
              <w:rPr>
                <w:rFonts w:eastAsia="DengXian" w:hint="eastAsia"/>
                <w:bCs/>
                <w:lang w:val="en-US" w:eastAsia="zh-CN"/>
              </w:rPr>
              <w:t>Note: Necessity of signaling support of slot offset should be discussed in RAN1</w:t>
            </w:r>
          </w:p>
          <w:p w14:paraId="749BECF1" w14:textId="77777777" w:rsidR="008A5B04" w:rsidRPr="00E418CB" w:rsidRDefault="008A5B04" w:rsidP="005A6A05">
            <w:pPr>
              <w:spacing w:after="0"/>
              <w:jc w:val="both"/>
              <w:rPr>
                <w:rFonts w:eastAsia="DengXian"/>
                <w:bCs/>
                <w:lang w:val="en-US" w:eastAsia="zh-CN"/>
              </w:rPr>
            </w:pPr>
            <w:r w:rsidRPr="00E418CB">
              <w:rPr>
                <w:rFonts w:eastAsia="DengXian" w:hint="eastAsia"/>
                <w:bCs/>
                <w:lang w:val="en-US" w:eastAsia="zh-CN"/>
              </w:rPr>
              <w:t>Note: Blind detection of slot offset is not in scope</w:t>
            </w:r>
          </w:p>
          <w:p w14:paraId="1CDDDF27" w14:textId="77777777" w:rsidR="008A5B04" w:rsidRPr="00E418CB" w:rsidRDefault="008A5B04" w:rsidP="005A6A05">
            <w:pPr>
              <w:spacing w:after="0"/>
              <w:jc w:val="both"/>
              <w:rPr>
                <w:rFonts w:eastAsia="DengXian"/>
                <w:bCs/>
                <w:lang w:val="en-US" w:eastAsia="zh-CN"/>
              </w:rPr>
            </w:pPr>
            <w:r w:rsidRPr="00E418CB">
              <w:rPr>
                <w:rFonts w:eastAsia="DengXian" w:hint="eastAsia"/>
                <w:bCs/>
                <w:lang w:val="en-US" w:eastAsia="zh-CN"/>
              </w:rPr>
              <w:t xml:space="preserve">Note: No </w:t>
            </w:r>
            <w:r w:rsidRPr="00E418CB">
              <w:rPr>
                <w:rFonts w:eastAsia="DengXian"/>
                <w:bCs/>
                <w:lang w:val="en-US" w:eastAsia="zh-CN"/>
              </w:rPr>
              <w:t>optimization</w:t>
            </w:r>
            <w:r w:rsidRPr="00E418CB">
              <w:rPr>
                <w:rFonts w:eastAsia="DengXian" w:hint="eastAsia"/>
                <w:bCs/>
                <w:lang w:val="en-US" w:eastAsia="zh-CN"/>
              </w:rPr>
              <w:t xml:space="preserve"> for MAC</w:t>
            </w:r>
          </w:p>
          <w:p w14:paraId="06C6898D" w14:textId="77777777" w:rsidR="008A5B04" w:rsidRPr="00C96975" w:rsidRDefault="008A5B04" w:rsidP="005A6A05">
            <w:pPr>
              <w:spacing w:after="0"/>
              <w:jc w:val="both"/>
              <w:rPr>
                <w:lang w:val="en-US" w:eastAsia="ko-KR"/>
              </w:rPr>
            </w:pPr>
            <w:r w:rsidRPr="00E418CB">
              <w:rPr>
                <w:rFonts w:eastAsia="DengXian"/>
                <w:bCs/>
                <w:lang w:val="en-US" w:eastAsia="zh-CN"/>
              </w:rPr>
              <w:t>Note: Feature is optional and capability signaling is introduced by RAN2</w:t>
            </w:r>
            <w:r w:rsidRPr="00C96975">
              <w:rPr>
                <w:rFonts w:eastAsia="DengXian"/>
                <w:bCs/>
                <w:lang w:val="en-US" w:eastAsia="zh-CN"/>
              </w:rPr>
              <w:t xml:space="preserve"> </w:t>
            </w:r>
          </w:p>
        </w:tc>
      </w:tr>
    </w:tbl>
    <w:p w14:paraId="1A713CDD" w14:textId="77777777" w:rsidR="008A5B04" w:rsidRDefault="008A5B04" w:rsidP="008A5B04">
      <w:pPr>
        <w:rPr>
          <w:lang w:eastAsia="ko-KR"/>
        </w:rPr>
      </w:pPr>
    </w:p>
    <w:p w14:paraId="45E473DC" w14:textId="4407B999" w:rsidR="00776923" w:rsidRDefault="00776923" w:rsidP="00930895">
      <w:pPr>
        <w:pStyle w:val="BodyText"/>
      </w:pPr>
      <w:r>
        <w:t xml:space="preserve">In this contribution, </w:t>
      </w:r>
      <w:r w:rsidR="003B3593">
        <w:t>we analyse the RAN2 impact from introducing the support for unaligned frame boundary.</w:t>
      </w:r>
    </w:p>
    <w:p w14:paraId="67D4D396" w14:textId="29A1CD40" w:rsidR="00F76C9E" w:rsidRPr="00F76C9E" w:rsidRDefault="00230D18" w:rsidP="00F76C9E">
      <w:pPr>
        <w:pStyle w:val="Heading1"/>
      </w:pPr>
      <w:r>
        <w:t>2</w:t>
      </w:r>
      <w:r>
        <w:tab/>
      </w:r>
      <w:r w:rsidR="004000E8" w:rsidRPr="00CE0424">
        <w:t>Discussion</w:t>
      </w:r>
      <w:bookmarkEnd w:id="1"/>
    </w:p>
    <w:p w14:paraId="2B8D9451" w14:textId="77777777" w:rsidR="00432448" w:rsidRDefault="00F76C9E" w:rsidP="00885DEB">
      <w:pPr>
        <w:pStyle w:val="Heading2"/>
        <w:numPr>
          <w:ilvl w:val="1"/>
          <w:numId w:val="31"/>
        </w:numPr>
      </w:pPr>
      <w:r>
        <w:t xml:space="preserve"> </w:t>
      </w:r>
      <w:r w:rsidR="00C54D1E">
        <w:t>Control plane</w:t>
      </w:r>
    </w:p>
    <w:p w14:paraId="300C2D35" w14:textId="6F2A4A79" w:rsidR="00C54D1E" w:rsidRDefault="00432448" w:rsidP="00432448">
      <w:pPr>
        <w:pStyle w:val="BodyText"/>
      </w:pPr>
      <w:r>
        <w:t xml:space="preserve">In this section we analyse the impact on 38.331 from introducing unaligned frame boundaries, both in terms of required additional signalling and in functions that are dependent of the SFN timing. </w:t>
      </w:r>
      <w:r w:rsidR="00C54D1E">
        <w:t xml:space="preserve"> </w:t>
      </w:r>
    </w:p>
    <w:p w14:paraId="17E2CFA8" w14:textId="143A3585" w:rsidR="00901140" w:rsidRDefault="00901140" w:rsidP="00901140">
      <w:pPr>
        <w:pStyle w:val="Heading2"/>
        <w:numPr>
          <w:ilvl w:val="2"/>
          <w:numId w:val="31"/>
        </w:numPr>
      </w:pPr>
      <w:r>
        <w:t xml:space="preserve"> RRC configuration </w:t>
      </w:r>
    </w:p>
    <w:p w14:paraId="54F5008E" w14:textId="65DCF7D4" w:rsidR="00DD2F89" w:rsidRDefault="003B3593" w:rsidP="00930895">
      <w:pPr>
        <w:pStyle w:val="BodyText"/>
      </w:pPr>
      <w:r>
        <w:t>According to the RAN plenary agreements, the necessity of signalling support is to be discussed in RAN1. In RAN1#98bis this was disc</w:t>
      </w:r>
      <w:r w:rsidR="00901140">
        <w:t>u</w:t>
      </w:r>
      <w:r>
        <w:t>ssed</w:t>
      </w:r>
      <w:r w:rsidR="00901140">
        <w:t xml:space="preserve">, see feature lead summary in </w:t>
      </w:r>
      <w:r w:rsidR="00901140">
        <w:fldChar w:fldCharType="begin"/>
      </w:r>
      <w:r w:rsidR="00901140">
        <w:instrText xml:space="preserve"> REF _Ref23324192 \n \h </w:instrText>
      </w:r>
      <w:r w:rsidR="00901140">
        <w:fldChar w:fldCharType="separate"/>
      </w:r>
      <w:r w:rsidR="00901140">
        <w:t>[1]</w:t>
      </w:r>
      <w:r w:rsidR="00901140">
        <w:fldChar w:fldCharType="end"/>
      </w:r>
      <w:r w:rsidR="00901140">
        <w:t xml:space="preserve">. The RAN1 agreement was that explicit RRC signalling </w:t>
      </w:r>
      <w:r w:rsidR="00901140" w:rsidRPr="00580646">
        <w:t>of slot offset to the UE in unaligned frame boundary with slot alignment and partial SFN alignment inter-band CA</w:t>
      </w:r>
      <w:r w:rsidR="00901140">
        <w:t xml:space="preserve"> will be introduced. </w:t>
      </w:r>
    </w:p>
    <w:p w14:paraId="7BD8939F" w14:textId="66D4545A" w:rsidR="00A058DA" w:rsidRDefault="00A058DA" w:rsidP="00A058DA">
      <w:pPr>
        <w:pStyle w:val="Observation"/>
      </w:pPr>
      <w:bookmarkStart w:id="2" w:name="_Toc24060675"/>
      <w:r>
        <w:t xml:space="preserve">RAN1 agreed to introduce RRC signalling </w:t>
      </w:r>
      <w:r w:rsidRPr="00A058DA">
        <w:t>of slot offset to the UE in unaligned frame boundary with slot alignment and partial SFN alignment inter-band CA</w:t>
      </w:r>
      <w:r>
        <w:t>.</w:t>
      </w:r>
      <w:bookmarkEnd w:id="2"/>
    </w:p>
    <w:p w14:paraId="3894687D" w14:textId="54C64294" w:rsidR="00776923" w:rsidRDefault="00901140" w:rsidP="00930895">
      <w:pPr>
        <w:pStyle w:val="BodyText"/>
      </w:pPr>
      <w:r>
        <w:t>However, RAN1 discussion did not conclude on the definition of the slot offset. Thus, from RAN2 point of view, the proposal is to await further input from RAN1 on the signalling.</w:t>
      </w:r>
    </w:p>
    <w:p w14:paraId="2D4FBB21" w14:textId="295D0FED" w:rsidR="00901140" w:rsidRDefault="00901140" w:rsidP="00901140">
      <w:pPr>
        <w:pStyle w:val="Proposal"/>
      </w:pPr>
      <w:bookmarkStart w:id="3" w:name="_Toc24060685"/>
      <w:r>
        <w:t>RAN2 to await input from RAN1 on the signalling of the frame boundary slot offset.</w:t>
      </w:r>
      <w:bookmarkEnd w:id="3"/>
    </w:p>
    <w:p w14:paraId="33FCB4B4" w14:textId="634CC8D0" w:rsidR="00901140" w:rsidRDefault="00901140" w:rsidP="00901140">
      <w:pPr>
        <w:pStyle w:val="Heading2"/>
        <w:numPr>
          <w:ilvl w:val="2"/>
          <w:numId w:val="31"/>
        </w:numPr>
      </w:pPr>
      <w:r>
        <w:lastRenderedPageBreak/>
        <w:t xml:space="preserve"> Capability signalling</w:t>
      </w:r>
    </w:p>
    <w:p w14:paraId="42322C2D" w14:textId="7E128D2F" w:rsidR="00E66BF8" w:rsidRPr="00043D1D" w:rsidRDefault="00E95395" w:rsidP="00E0691B">
      <w:pPr>
        <w:pStyle w:val="BodyText"/>
        <w:rPr>
          <w:i/>
        </w:rPr>
      </w:pPr>
      <w:r>
        <w:t>RAN#85 plenary agreed that the support for unaligned frame boundary with slot offset will be optional and that capability signalling is to be introduced by RAN2.</w:t>
      </w:r>
      <w:r w:rsidR="00043D1D">
        <w:t xml:space="preserve"> The UE capability bit should be a per UE capability bit, e.g. in</w:t>
      </w:r>
      <w:r w:rsidR="00043D1D">
        <w:rPr>
          <w:i/>
        </w:rPr>
        <w:t xml:space="preserve"> </w:t>
      </w:r>
      <w:proofErr w:type="spellStart"/>
      <w:r w:rsidR="00E71A82" w:rsidRPr="00E71A82">
        <w:rPr>
          <w:i/>
        </w:rPr>
        <w:t>Phy</w:t>
      </w:r>
      <w:proofErr w:type="spellEnd"/>
      <w:r w:rsidR="00E71A82" w:rsidRPr="00E71A82">
        <w:rPr>
          <w:i/>
        </w:rPr>
        <w:t>-Parameters</w:t>
      </w:r>
      <w:r w:rsidR="00E66BF8">
        <w:t>.</w:t>
      </w:r>
      <w:r w:rsidR="00043D1D">
        <w:t xml:space="preserve"> RAN1 is yet to discuss the L1 capability bits for Rel-16. RAN1 plans to have an initial discussion on the L1 capabilities in November meeting, with finalization in Q1 next year. Thus, RAN2 needs to wait for the RAN1 input on the capability bit.</w:t>
      </w:r>
    </w:p>
    <w:p w14:paraId="28337591" w14:textId="28BF48C6" w:rsidR="00E95395" w:rsidRPr="00776923" w:rsidRDefault="00043D1D" w:rsidP="00E95395">
      <w:pPr>
        <w:pStyle w:val="Proposal"/>
      </w:pPr>
      <w:bookmarkStart w:id="4" w:name="_Toc24060686"/>
      <w:r>
        <w:t xml:space="preserve">RAN2 to await input from RAN1 for </w:t>
      </w:r>
      <w:r w:rsidR="00E95395">
        <w:t>UE capability signalling for unaligned frame boundary with slot offset</w:t>
      </w:r>
      <w:r w:rsidR="00E71A82">
        <w:t>.</w:t>
      </w:r>
      <w:bookmarkEnd w:id="4"/>
    </w:p>
    <w:p w14:paraId="26C5AE75" w14:textId="4EBFD4E3" w:rsidR="00E0691B" w:rsidRDefault="00F76C9E" w:rsidP="00E0691B">
      <w:pPr>
        <w:pStyle w:val="Heading2"/>
        <w:numPr>
          <w:ilvl w:val="2"/>
          <w:numId w:val="31"/>
        </w:numPr>
      </w:pPr>
      <w:r>
        <w:t xml:space="preserve"> </w:t>
      </w:r>
      <w:r w:rsidR="00E0691B">
        <w:t>Measurement gap calculation</w:t>
      </w:r>
    </w:p>
    <w:p w14:paraId="7D1CC6C5" w14:textId="4113A055" w:rsidR="00E0691B" w:rsidRDefault="00930895" w:rsidP="00E0691B">
      <w:pPr>
        <w:pStyle w:val="BodyText"/>
      </w:pPr>
      <w:r>
        <w:t xml:space="preserve">With the introduction of slot offset in SFN timing on </w:t>
      </w:r>
      <w:proofErr w:type="spellStart"/>
      <w:r>
        <w:t>Scells</w:t>
      </w:r>
      <w:proofErr w:type="spellEnd"/>
      <w:r>
        <w:t xml:space="preserve"> within a cell group, it is important that the UE uses the right reference</w:t>
      </w:r>
      <w:r w:rsidRPr="00930895">
        <w:t xml:space="preserve"> </w:t>
      </w:r>
      <w:r>
        <w:t>when calculating the gap pattern timing. The formulas for measurement gap pattern calculation in</w:t>
      </w:r>
      <w:r w:rsidR="00937F7D">
        <w:t xml:space="preserve"> section 5.5.2.9 of</w:t>
      </w:r>
      <w:r>
        <w:t xml:space="preserve"> 38.331 currently includes the following notes regarding the SFN and subframe used in the calculations:</w:t>
      </w:r>
    </w:p>
    <w:p w14:paraId="45C8CD72" w14:textId="77777777" w:rsidR="00E0691B" w:rsidRPr="0096519C" w:rsidRDefault="00E0691B" w:rsidP="00E0691B">
      <w:pPr>
        <w:pStyle w:val="NO"/>
      </w:pPr>
      <w:r w:rsidRPr="0096519C">
        <w:t xml:space="preserve">NOTE 1: For </w:t>
      </w:r>
      <w:r w:rsidRPr="0096519C">
        <w:rPr>
          <w:i/>
        </w:rPr>
        <w:t>gapFR2</w:t>
      </w:r>
      <w:r w:rsidRPr="0096519C">
        <w:t xml:space="preserve"> configuration, for the UE in NE-DC or NR-DC, the SFN and subframe of the serving cell indicated by the </w:t>
      </w:r>
      <w:proofErr w:type="spellStart"/>
      <w:r w:rsidRPr="0096519C">
        <w:rPr>
          <w:i/>
        </w:rPr>
        <w:t>refServCellIndicator</w:t>
      </w:r>
      <w:proofErr w:type="spellEnd"/>
      <w:r w:rsidRPr="0096519C">
        <w:rPr>
          <w:i/>
        </w:rPr>
        <w:t xml:space="preserve"> </w:t>
      </w:r>
      <w:r w:rsidRPr="0096519C">
        <w:t xml:space="preserve">in </w:t>
      </w:r>
      <w:r w:rsidRPr="0096519C">
        <w:rPr>
          <w:i/>
        </w:rPr>
        <w:t>gapFR2</w:t>
      </w:r>
      <w:r w:rsidRPr="0096519C">
        <w:t xml:space="preserve"> is used in the gap calculation. Otherwise, the SFN and subframe of a serving cell on FR2 frequency is used in the gap calculation</w:t>
      </w:r>
    </w:p>
    <w:p w14:paraId="437E790A" w14:textId="77777777" w:rsidR="00E0691B" w:rsidRPr="0096519C" w:rsidRDefault="00E0691B" w:rsidP="00E0691B">
      <w:pPr>
        <w:pStyle w:val="NO"/>
      </w:pPr>
      <w:r w:rsidRPr="0096519C">
        <w:t xml:space="preserve">NOTE 2: For </w:t>
      </w:r>
      <w:r w:rsidRPr="0096519C">
        <w:rPr>
          <w:i/>
        </w:rPr>
        <w:t>gapFR1</w:t>
      </w:r>
      <w:r w:rsidRPr="0096519C">
        <w:t xml:space="preserve"> or </w:t>
      </w:r>
      <w:proofErr w:type="spellStart"/>
      <w:r w:rsidRPr="0096519C">
        <w:rPr>
          <w:i/>
        </w:rPr>
        <w:t>gapUE</w:t>
      </w:r>
      <w:proofErr w:type="spellEnd"/>
      <w:r w:rsidRPr="0096519C">
        <w:t xml:space="preserve"> configuration, for the UE in NE-DC or NR-DC, the SFN and subframe of the serving cell indicated by the </w:t>
      </w:r>
      <w:proofErr w:type="spellStart"/>
      <w:r w:rsidRPr="0096519C">
        <w:rPr>
          <w:i/>
        </w:rPr>
        <w:t>refServCellIndicator</w:t>
      </w:r>
      <w:proofErr w:type="spellEnd"/>
      <w:r w:rsidRPr="0096519C">
        <w:rPr>
          <w:i/>
        </w:rPr>
        <w:t xml:space="preserve"> </w:t>
      </w:r>
      <w:r w:rsidRPr="0096519C">
        <w:t xml:space="preserve">in corresponding </w:t>
      </w:r>
      <w:r w:rsidRPr="0096519C">
        <w:rPr>
          <w:i/>
        </w:rPr>
        <w:t>gapFR1</w:t>
      </w:r>
      <w:r w:rsidRPr="0096519C">
        <w:t xml:space="preserve"> or </w:t>
      </w:r>
      <w:proofErr w:type="spellStart"/>
      <w:r w:rsidRPr="0096519C">
        <w:rPr>
          <w:i/>
        </w:rPr>
        <w:t>gapUE</w:t>
      </w:r>
      <w:proofErr w:type="spellEnd"/>
      <w:r w:rsidRPr="0096519C">
        <w:t xml:space="preserve"> is used in the gap calculation. Otherwise, the SFN and subframe of the </w:t>
      </w:r>
      <w:proofErr w:type="spellStart"/>
      <w:r w:rsidRPr="0096519C">
        <w:t>PCell</w:t>
      </w:r>
      <w:proofErr w:type="spellEnd"/>
      <w:r w:rsidRPr="0096519C">
        <w:t xml:space="preserve"> is used in the gap calculation.</w:t>
      </w:r>
    </w:p>
    <w:p w14:paraId="4E521655" w14:textId="54FD7F7E" w:rsidR="00E0691B" w:rsidRDefault="00997231" w:rsidP="00E0691B">
      <w:pPr>
        <w:pStyle w:val="BodyText"/>
      </w:pPr>
      <w:r>
        <w:t xml:space="preserve">According to the notes, FR1 gap pattern is either based on </w:t>
      </w:r>
      <w:r w:rsidRPr="00997231">
        <w:t xml:space="preserve">SFN and subframe of the </w:t>
      </w:r>
      <w:proofErr w:type="spellStart"/>
      <w:r w:rsidRPr="00997231">
        <w:t>PCell</w:t>
      </w:r>
      <w:proofErr w:type="spellEnd"/>
      <w:r>
        <w:t xml:space="preserve"> or </w:t>
      </w:r>
      <w:r w:rsidR="0054785A">
        <w:t xml:space="preserve">the serving cell indicated by </w:t>
      </w:r>
      <w:proofErr w:type="spellStart"/>
      <w:r w:rsidR="0054785A" w:rsidRPr="0054785A">
        <w:rPr>
          <w:i/>
        </w:rPr>
        <w:t>refServCellIndicator</w:t>
      </w:r>
      <w:proofErr w:type="spellEnd"/>
      <w:r w:rsidR="0054785A">
        <w:t xml:space="preserve">: </w:t>
      </w:r>
    </w:p>
    <w:tbl>
      <w:tblPr>
        <w:tblW w:w="102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239"/>
      </w:tblGrid>
      <w:tr w:rsidR="0054785A" w:rsidRPr="0096519C" w14:paraId="09A339AB" w14:textId="77777777" w:rsidTr="0054785A">
        <w:trPr>
          <w:cantSplit/>
        </w:trPr>
        <w:tc>
          <w:tcPr>
            <w:tcW w:w="10239" w:type="dxa"/>
            <w:tcBorders>
              <w:top w:val="single" w:sz="4" w:space="0" w:color="808080"/>
              <w:left w:val="single" w:sz="4" w:space="0" w:color="808080"/>
              <w:bottom w:val="single" w:sz="4" w:space="0" w:color="808080"/>
              <w:right w:val="single" w:sz="4" w:space="0" w:color="808080"/>
            </w:tcBorders>
            <w:hideMark/>
          </w:tcPr>
          <w:p w14:paraId="318B1C20" w14:textId="77777777" w:rsidR="0054785A" w:rsidRPr="0096519C" w:rsidRDefault="0054785A" w:rsidP="005A6A05">
            <w:pPr>
              <w:pStyle w:val="TAL"/>
              <w:rPr>
                <w:b/>
                <w:bCs/>
                <w:i/>
                <w:lang w:val="en-GB" w:eastAsia="en-GB"/>
              </w:rPr>
            </w:pPr>
            <w:proofErr w:type="spellStart"/>
            <w:r w:rsidRPr="0096519C">
              <w:rPr>
                <w:b/>
                <w:bCs/>
                <w:i/>
                <w:lang w:val="en-GB" w:eastAsia="en-GB"/>
              </w:rPr>
              <w:t>refServCellIndicator</w:t>
            </w:r>
            <w:proofErr w:type="spellEnd"/>
          </w:p>
          <w:p w14:paraId="40C2BB96" w14:textId="77777777" w:rsidR="0054785A" w:rsidRPr="0096519C" w:rsidRDefault="0054785A" w:rsidP="005A6A05">
            <w:pPr>
              <w:pStyle w:val="TAL"/>
              <w:rPr>
                <w:bCs/>
                <w:lang w:val="en-GB" w:eastAsia="en-GB"/>
              </w:rPr>
            </w:pPr>
            <w:r w:rsidRPr="0096519C">
              <w:rPr>
                <w:bCs/>
                <w:lang w:val="en-GB" w:eastAsia="en-GB"/>
              </w:rPr>
              <w:t xml:space="preserve">Indicates the serving cell whose SFN and subframe are used for gap calculation for this gap pattern. Value </w:t>
            </w:r>
            <w:proofErr w:type="spellStart"/>
            <w:r w:rsidRPr="0096519C">
              <w:rPr>
                <w:bCs/>
                <w:lang w:val="en-GB" w:eastAsia="en-GB"/>
              </w:rPr>
              <w:t>pCell</w:t>
            </w:r>
            <w:proofErr w:type="spellEnd"/>
            <w:r w:rsidRPr="0096519C">
              <w:rPr>
                <w:bCs/>
                <w:lang w:val="en-GB" w:eastAsia="en-GB"/>
              </w:rPr>
              <w:t xml:space="preserve"> corresponds to the </w:t>
            </w:r>
            <w:proofErr w:type="spellStart"/>
            <w:r w:rsidRPr="0096519C">
              <w:rPr>
                <w:bCs/>
                <w:lang w:val="en-GB" w:eastAsia="en-GB"/>
              </w:rPr>
              <w:t>PCell</w:t>
            </w:r>
            <w:proofErr w:type="spellEnd"/>
            <w:r w:rsidRPr="0096519C">
              <w:rPr>
                <w:bCs/>
                <w:lang w:val="en-GB" w:eastAsia="en-GB"/>
              </w:rPr>
              <w:t xml:space="preserve">, </w:t>
            </w:r>
            <w:proofErr w:type="spellStart"/>
            <w:r w:rsidRPr="0096519C">
              <w:rPr>
                <w:bCs/>
                <w:lang w:val="en-GB" w:eastAsia="en-GB"/>
              </w:rPr>
              <w:t>pSCell</w:t>
            </w:r>
            <w:proofErr w:type="spellEnd"/>
            <w:r w:rsidRPr="0096519C">
              <w:rPr>
                <w:bCs/>
                <w:lang w:val="en-GB" w:eastAsia="en-GB"/>
              </w:rPr>
              <w:t xml:space="preserve"> corresponds to the </w:t>
            </w:r>
            <w:proofErr w:type="spellStart"/>
            <w:r w:rsidRPr="0096519C">
              <w:rPr>
                <w:bCs/>
                <w:lang w:val="en-GB" w:eastAsia="en-GB"/>
              </w:rPr>
              <w:t>PSCell</w:t>
            </w:r>
            <w:proofErr w:type="spellEnd"/>
            <w:r w:rsidRPr="0096519C">
              <w:rPr>
                <w:bCs/>
                <w:lang w:val="en-GB" w:eastAsia="en-GB"/>
              </w:rPr>
              <w:t>, and mcg-FR2 corresponds to a serving cell on FR2 frequency in MCG.</w:t>
            </w:r>
          </w:p>
        </w:tc>
      </w:tr>
    </w:tbl>
    <w:p w14:paraId="40F65933" w14:textId="1E0D9D66" w:rsidR="00E0691B" w:rsidRDefault="00E0691B" w:rsidP="00E0691B">
      <w:pPr>
        <w:pStyle w:val="BodyText"/>
      </w:pPr>
    </w:p>
    <w:p w14:paraId="503C3A08" w14:textId="567A0EAB" w:rsidR="0054785A" w:rsidRDefault="001D2643" w:rsidP="00E0691B">
      <w:pPr>
        <w:pStyle w:val="BodyText"/>
      </w:pPr>
      <w:r>
        <w:t xml:space="preserve">According to above, the situation should be clear for FR1 gap pattern that for </w:t>
      </w:r>
      <w:r w:rsidR="00B86C96">
        <w:t>NR CA</w:t>
      </w:r>
      <w:r>
        <w:t xml:space="preserve"> the reference point is the </w:t>
      </w:r>
      <w:proofErr w:type="spellStart"/>
      <w:r>
        <w:t>PCell</w:t>
      </w:r>
      <w:proofErr w:type="spellEnd"/>
      <w:r>
        <w:t xml:space="preserve"> SFN timing</w:t>
      </w:r>
      <w:r w:rsidR="00B86C96">
        <w:t xml:space="preserve">, whereas for </w:t>
      </w:r>
      <w:r w:rsidR="00A32CBE">
        <w:t xml:space="preserve">NE-DC or </w:t>
      </w:r>
      <w:r w:rsidR="00B86C96">
        <w:t>NR-DC</w:t>
      </w:r>
      <w:r w:rsidR="00A32CBE">
        <w:t xml:space="preserve"> it is indicated by </w:t>
      </w:r>
      <w:proofErr w:type="spellStart"/>
      <w:r w:rsidR="00A32CBE" w:rsidRPr="0096519C">
        <w:rPr>
          <w:i/>
        </w:rPr>
        <w:t>refServCellIndicator</w:t>
      </w:r>
      <w:proofErr w:type="spellEnd"/>
      <w:r>
        <w:t xml:space="preserve">. </w:t>
      </w:r>
    </w:p>
    <w:p w14:paraId="774CFEB4" w14:textId="04832A22" w:rsidR="001D2643" w:rsidRDefault="001D2643" w:rsidP="001D2643">
      <w:pPr>
        <w:pStyle w:val="Observation"/>
      </w:pPr>
      <w:bookmarkStart w:id="5" w:name="_Toc24060676"/>
      <w:r>
        <w:t>Unaligned frame boundaries with</w:t>
      </w:r>
      <w:r w:rsidR="00F45A51">
        <w:t>in</w:t>
      </w:r>
      <w:r>
        <w:t xml:space="preserve"> a cell group introduces no ambiguity with regards to FR1 gap pattern calculation.</w:t>
      </w:r>
      <w:bookmarkEnd w:id="5"/>
    </w:p>
    <w:p w14:paraId="76597923" w14:textId="79CD7D6D" w:rsidR="001D2643" w:rsidRDefault="001D2643" w:rsidP="0077324D">
      <w:pPr>
        <w:pStyle w:val="BodyText"/>
      </w:pPr>
      <w:r>
        <w:t xml:space="preserve">For FR2 gap pattern, both the note and field description of </w:t>
      </w:r>
      <w:proofErr w:type="spellStart"/>
      <w:r w:rsidRPr="0077324D">
        <w:rPr>
          <w:i/>
        </w:rPr>
        <w:t>refServCellIndicator</w:t>
      </w:r>
      <w:proofErr w:type="spellEnd"/>
      <w:r>
        <w:t xml:space="preserve"> refer to “a serving cell on FR2 frequency”.</w:t>
      </w:r>
      <w:r w:rsidR="0077324D">
        <w:t xml:space="preserve"> Up to now the frame timing has been the same for serving cells within a cell group, and thus it has not mattered which serving cell is used as reference. This changes with the introduction of unaligned frame boundaries.</w:t>
      </w:r>
      <w:r w:rsidR="00A32CBE">
        <w:t xml:space="preserve"> Though the SFN will still be partially aligned, the frame alignment may vary.</w:t>
      </w:r>
      <w:r w:rsidR="0077324D">
        <w:t xml:space="preserve"> T</w:t>
      </w:r>
      <w:r w:rsidR="006647DB">
        <w:t xml:space="preserve">he introduction of a slot offset between frame timing among serving cells may cause ambiguity in the measurement gap pattern calculation, as the UE may base the </w:t>
      </w:r>
      <w:r w:rsidR="0077324D">
        <w:t xml:space="preserve">calculation on any FR2 serving cell. </w:t>
      </w:r>
    </w:p>
    <w:p w14:paraId="2C5C5F5D" w14:textId="7F41A58C" w:rsidR="001D2643" w:rsidRDefault="001D2643" w:rsidP="001D2643">
      <w:pPr>
        <w:pStyle w:val="Observation"/>
      </w:pPr>
      <w:bookmarkStart w:id="6" w:name="_Toc24060677"/>
      <w:r>
        <w:t>Unaligned frame boundaries with</w:t>
      </w:r>
      <w:r w:rsidR="0013108D">
        <w:t>in</w:t>
      </w:r>
      <w:r>
        <w:t xml:space="preserve"> a cell group introduces ambiguity with regards to FR</w:t>
      </w:r>
      <w:r w:rsidR="0077324D">
        <w:t>2</w:t>
      </w:r>
      <w:r>
        <w:t xml:space="preserve"> gap pattern calculation.</w:t>
      </w:r>
      <w:bookmarkEnd w:id="6"/>
    </w:p>
    <w:p w14:paraId="1A06A186" w14:textId="0F129F4F" w:rsidR="00841446" w:rsidRDefault="006D2B99" w:rsidP="00E0691B">
      <w:pPr>
        <w:pStyle w:val="BodyText"/>
      </w:pPr>
      <w:r>
        <w:t xml:space="preserve">To ensure the UE uses a known reference point </w:t>
      </w:r>
      <w:r w:rsidR="004F6310">
        <w:t xml:space="preserve">also </w:t>
      </w:r>
      <w:r>
        <w:t>for</w:t>
      </w:r>
      <w:r w:rsidR="004F6310">
        <w:t xml:space="preserve"> FR2 gap pattern calculation</w:t>
      </w:r>
      <w:r w:rsidR="006442A7">
        <w:t xml:space="preserve"> in a network with unaligned frame boundaries</w:t>
      </w:r>
      <w:r w:rsidR="00804C10" w:rsidRPr="00804C10">
        <w:t xml:space="preserve"> within a cell group</w:t>
      </w:r>
      <w:r w:rsidR="004F6310">
        <w:t xml:space="preserve">, either </w:t>
      </w:r>
      <w:proofErr w:type="spellStart"/>
      <w:r w:rsidR="004F6310">
        <w:t>PCell</w:t>
      </w:r>
      <w:proofErr w:type="spellEnd"/>
      <w:r w:rsidR="004F6310">
        <w:t xml:space="preserve"> or </w:t>
      </w:r>
      <w:proofErr w:type="spellStart"/>
      <w:r w:rsidR="004F6310">
        <w:t>PSCell</w:t>
      </w:r>
      <w:proofErr w:type="spellEnd"/>
      <w:r w:rsidR="004F6310">
        <w:t xml:space="preserve"> </w:t>
      </w:r>
      <w:r w:rsidR="00841446">
        <w:t>c</w:t>
      </w:r>
      <w:r w:rsidR="004F6310">
        <w:t xml:space="preserve">ould be used, depending on whether the pattern is related to MCG or SCG. </w:t>
      </w:r>
      <w:r w:rsidR="00841446">
        <w:t xml:space="preserve">This should work, even though </w:t>
      </w:r>
      <w:proofErr w:type="spellStart"/>
      <w:r w:rsidR="00841446">
        <w:t>PCell</w:t>
      </w:r>
      <w:proofErr w:type="spellEnd"/>
      <w:r w:rsidR="00F7781C">
        <w:t>/</w:t>
      </w:r>
      <w:proofErr w:type="spellStart"/>
      <w:r w:rsidR="00F7781C">
        <w:t>PSCell</w:t>
      </w:r>
      <w:proofErr w:type="spellEnd"/>
      <w:r w:rsidR="00841446">
        <w:t xml:space="preserve"> may not be on FR2.</w:t>
      </w:r>
      <w:r w:rsidR="00AC4902">
        <w:t xml:space="preserve"> The gap pattern configuration </w:t>
      </w:r>
      <w:r w:rsidR="00C768BD">
        <w:t xml:space="preserve">should </w:t>
      </w:r>
      <w:r w:rsidR="00AC4902">
        <w:t xml:space="preserve">include sufficient granularity in terms of </w:t>
      </w:r>
      <w:r w:rsidR="00B363EF">
        <w:t>gap length</w:t>
      </w:r>
      <w:r w:rsidR="00F7781C">
        <w:t xml:space="preserve"> (</w:t>
      </w:r>
      <w:proofErr w:type="spellStart"/>
      <w:r w:rsidR="00DF4B3C" w:rsidRPr="00DF4B3C">
        <w:rPr>
          <w:i/>
        </w:rPr>
        <w:t>mgl</w:t>
      </w:r>
      <w:proofErr w:type="spellEnd"/>
      <w:r w:rsidR="00F7781C">
        <w:t>)</w:t>
      </w:r>
      <w:r w:rsidR="00AC4902">
        <w:t>, repetition</w:t>
      </w:r>
      <w:r w:rsidR="00DF4B3C">
        <w:t xml:space="preserve"> (</w:t>
      </w:r>
      <w:proofErr w:type="spellStart"/>
      <w:r w:rsidR="00DF4B3C" w:rsidRPr="00DF4B3C">
        <w:rPr>
          <w:i/>
        </w:rPr>
        <w:t>mgrp</w:t>
      </w:r>
      <w:proofErr w:type="spellEnd"/>
      <w:r w:rsidR="00DF4B3C">
        <w:t>)</w:t>
      </w:r>
      <w:r w:rsidR="00F7781C">
        <w:t>,</w:t>
      </w:r>
      <w:r w:rsidR="00B363EF">
        <w:t xml:space="preserve"> offset</w:t>
      </w:r>
      <w:r w:rsidR="00DF4B3C">
        <w:t xml:space="preserve"> (</w:t>
      </w:r>
      <w:proofErr w:type="spellStart"/>
      <w:r w:rsidR="00DF4B3C" w:rsidRPr="00DF4B3C">
        <w:rPr>
          <w:i/>
        </w:rPr>
        <w:t>gapOffset</w:t>
      </w:r>
      <w:proofErr w:type="spellEnd"/>
      <w:r w:rsidR="00DF4B3C">
        <w:t>)</w:t>
      </w:r>
      <w:r w:rsidR="00F7781C">
        <w:t xml:space="preserve"> and </w:t>
      </w:r>
      <w:r w:rsidR="00DF4B3C">
        <w:t xml:space="preserve">timing </w:t>
      </w:r>
      <w:r w:rsidR="00F7781C">
        <w:t>advance</w:t>
      </w:r>
      <w:r w:rsidR="00DF4B3C">
        <w:t xml:space="preserve"> (</w:t>
      </w:r>
      <w:proofErr w:type="spellStart"/>
      <w:r w:rsidR="00DF4B3C" w:rsidRPr="00DF4B3C">
        <w:rPr>
          <w:i/>
        </w:rPr>
        <w:t>mgta</w:t>
      </w:r>
      <w:proofErr w:type="spellEnd"/>
      <w:r w:rsidR="00DF4B3C">
        <w:t>)</w:t>
      </w:r>
      <w:r w:rsidR="00AC4902">
        <w:t xml:space="preserve"> to allow configuration across serving cells with unaligned frame boundaries.</w:t>
      </w:r>
      <w:r w:rsidR="00CC5670">
        <w:t xml:space="preserve"> The situation is similar as for asynchronous EN-DC or NE-DC</w:t>
      </w:r>
      <w:r w:rsidR="00B363EF">
        <w:t xml:space="preserve"> as shown in figure 1 below (borrowed from 38.133, figure 9.1.2-1). There are also tables in 38.133 showing the number of interrupted slots on serving cells for different configurations.</w:t>
      </w:r>
    </w:p>
    <w:p w14:paraId="4099398C" w14:textId="5010DAB2" w:rsidR="00CC5670" w:rsidRDefault="00CC5670" w:rsidP="00E0691B">
      <w:pPr>
        <w:pStyle w:val="BodyText"/>
      </w:pPr>
      <w:r>
        <w:rPr>
          <w:noProof/>
        </w:rPr>
        <w:lastRenderedPageBreak/>
        <w:drawing>
          <wp:inline distT="0" distB="0" distL="0" distR="0" wp14:anchorId="53B13C11" wp14:editId="5C44A23D">
            <wp:extent cx="6120765" cy="1451610"/>
            <wp:effectExtent l="0" t="0" r="0" b="0"/>
            <wp:docPr id="1" name="Picture 1" descr="cid:image002.png@01D59484.3156BE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9484.3156BE6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765" cy="1451610"/>
                    </a:xfrm>
                    <a:prstGeom prst="rect">
                      <a:avLst/>
                    </a:prstGeom>
                    <a:noFill/>
                    <a:ln>
                      <a:noFill/>
                    </a:ln>
                  </pic:spPr>
                </pic:pic>
              </a:graphicData>
            </a:graphic>
          </wp:inline>
        </w:drawing>
      </w:r>
    </w:p>
    <w:p w14:paraId="31A2C504" w14:textId="5EF23037" w:rsidR="00CC5670" w:rsidRDefault="00CC5670" w:rsidP="00CC5670">
      <w:pPr>
        <w:pStyle w:val="Caption"/>
      </w:pPr>
      <w:r>
        <w:t xml:space="preserve">Figure </w:t>
      </w:r>
      <w:fldSimple w:instr=" SEQ Figure \* ARABIC ">
        <w:r>
          <w:rPr>
            <w:noProof/>
          </w:rPr>
          <w:t>1</w:t>
        </w:r>
      </w:fldSimple>
      <w:r>
        <w:t xml:space="preserve">: </w:t>
      </w:r>
      <w:r w:rsidR="00B363EF">
        <w:rPr>
          <w:snapToGrid w:val="0"/>
        </w:rPr>
        <w:t>Measurement GAP and total interruption time on serving cells for EN-DC, NR standalone</w:t>
      </w:r>
      <w:r w:rsidR="00B363EF">
        <w:rPr>
          <w:lang w:eastAsia="zh-CN"/>
        </w:rPr>
        <w:t xml:space="preserve"> operation (with single carrier, NR CA and NR-DC configuration)</w:t>
      </w:r>
      <w:r w:rsidR="00B363EF">
        <w:rPr>
          <w:snapToGrid w:val="0"/>
        </w:rPr>
        <w:t xml:space="preserve"> and NE-DC</w:t>
      </w:r>
    </w:p>
    <w:p w14:paraId="2D18D2D1" w14:textId="68D95D94" w:rsidR="001D2643" w:rsidRDefault="004F6310" w:rsidP="00E0691B">
      <w:pPr>
        <w:pStyle w:val="BodyText"/>
      </w:pPr>
      <w:r>
        <w:t>For NE-DC and NR-DC</w:t>
      </w:r>
      <w:r w:rsidR="003D773A">
        <w:t>,</w:t>
      </w:r>
      <w:r>
        <w:t xml:space="preserve"> th</w:t>
      </w:r>
      <w:r w:rsidR="008E1F20">
        <w:t>e ambiguity</w:t>
      </w:r>
      <w:r>
        <w:t xml:space="preserve"> can be </w:t>
      </w:r>
      <w:r w:rsidR="003D773A">
        <w:t>solved by the network</w:t>
      </w:r>
      <w:r>
        <w:t xml:space="preserve"> by proper setting of </w:t>
      </w:r>
      <w:proofErr w:type="spellStart"/>
      <w:r w:rsidRPr="0077324D">
        <w:rPr>
          <w:i/>
        </w:rPr>
        <w:t>refServCellIndicator</w:t>
      </w:r>
      <w:proofErr w:type="spellEnd"/>
      <w:r w:rsidR="003D773A">
        <w:t>. F</w:t>
      </w:r>
      <w:r>
        <w:t xml:space="preserve">or NR SA, </w:t>
      </w:r>
      <w:proofErr w:type="gramStart"/>
      <w:r>
        <w:t>Note</w:t>
      </w:r>
      <w:proofErr w:type="gramEnd"/>
      <w:r>
        <w:t xml:space="preserve"> 1 </w:t>
      </w:r>
      <w:r w:rsidR="00794BA7">
        <w:t xml:space="preserve">above </w:t>
      </w:r>
      <w:r>
        <w:t>should</w:t>
      </w:r>
      <w:r w:rsidR="007B2475">
        <w:t xml:space="preserve"> probably</w:t>
      </w:r>
      <w:r>
        <w:t xml:space="preserve"> be updated to</w:t>
      </w:r>
      <w:r w:rsidR="006442A7">
        <w:t xml:space="preserve"> refer to </w:t>
      </w:r>
      <w:proofErr w:type="spellStart"/>
      <w:r w:rsidR="006442A7">
        <w:t>PCell</w:t>
      </w:r>
      <w:proofErr w:type="spellEnd"/>
      <w:r w:rsidR="006442A7">
        <w:t xml:space="preserve"> instead of “a </w:t>
      </w:r>
      <w:r w:rsidR="006442A7" w:rsidRPr="0096519C">
        <w:t>serving cell on FR2 frequency</w:t>
      </w:r>
      <w:r w:rsidR="006442A7">
        <w:t>”.</w:t>
      </w:r>
      <w:r w:rsidR="007B2475">
        <w:t xml:space="preserve"> However, this change should be confirmed with RAN4 before agreement. Therefore, we propose to send </w:t>
      </w:r>
      <w:proofErr w:type="gramStart"/>
      <w:r w:rsidR="007B2475">
        <w:t>an</w:t>
      </w:r>
      <w:proofErr w:type="gramEnd"/>
      <w:r w:rsidR="007B2475">
        <w:t xml:space="preserve"> LS to RAN4 to ask about the feasibility of using </w:t>
      </w:r>
      <w:proofErr w:type="spellStart"/>
      <w:r w:rsidR="007B2475">
        <w:t>PCell</w:t>
      </w:r>
      <w:proofErr w:type="spellEnd"/>
      <w:r w:rsidR="007B2475">
        <w:t xml:space="preserve"> as reference for FR2 gap pattern calculations.</w:t>
      </w:r>
    </w:p>
    <w:p w14:paraId="7A52D65B" w14:textId="4580CD2F" w:rsidR="006442A7" w:rsidRDefault="007B2475" w:rsidP="006442A7">
      <w:pPr>
        <w:pStyle w:val="Proposal"/>
      </w:pPr>
      <w:bookmarkStart w:id="7" w:name="_Hlk23941981"/>
      <w:bookmarkStart w:id="8" w:name="_Toc24060687"/>
      <w:r>
        <w:t xml:space="preserve">Send LS to RAN4 to ask for the feasibility of using </w:t>
      </w:r>
      <w:proofErr w:type="spellStart"/>
      <w:r>
        <w:t>PCell</w:t>
      </w:r>
      <w:proofErr w:type="spellEnd"/>
      <w:r>
        <w:t xml:space="preserve"> </w:t>
      </w:r>
      <w:r w:rsidR="005A6A05">
        <w:t xml:space="preserve">for NR SA </w:t>
      </w:r>
      <w:r>
        <w:t>as reference for FR2 gap pattern calculation</w:t>
      </w:r>
      <w:r w:rsidR="006442A7">
        <w:t>.</w:t>
      </w:r>
      <w:bookmarkEnd w:id="8"/>
    </w:p>
    <w:bookmarkEnd w:id="7"/>
    <w:p w14:paraId="262D80F8" w14:textId="1DCEF3B7" w:rsidR="006B1256" w:rsidRDefault="00BD6A4B" w:rsidP="006B1256">
      <w:pPr>
        <w:pStyle w:val="Heading2"/>
        <w:numPr>
          <w:ilvl w:val="2"/>
          <w:numId w:val="31"/>
        </w:numPr>
      </w:pPr>
      <w:r>
        <w:t xml:space="preserve"> </w:t>
      </w:r>
      <w:r w:rsidR="006B1256">
        <w:t xml:space="preserve">System information </w:t>
      </w:r>
      <w:r w:rsidR="00B33775">
        <w:t>modification period</w:t>
      </w:r>
    </w:p>
    <w:p w14:paraId="72BE5E08" w14:textId="1BC1C499" w:rsidR="006B1256" w:rsidRDefault="007331AC" w:rsidP="00D36C87">
      <w:pPr>
        <w:pStyle w:val="BodyText"/>
      </w:pPr>
      <w:r>
        <w:t xml:space="preserve">As part of system information update, a system information modification period is defined in </w:t>
      </w:r>
      <w:r w:rsidR="006B1256">
        <w:t>38.331</w:t>
      </w:r>
      <w:r>
        <w:t>, section 5.2.2.2.2, as follows</w:t>
      </w:r>
      <w:r w:rsidR="006B1256">
        <w:t>:</w:t>
      </w:r>
    </w:p>
    <w:p w14:paraId="1E5EB0A5" w14:textId="77777777" w:rsidR="006B1256" w:rsidRPr="0096519C" w:rsidRDefault="006B1256" w:rsidP="006B1256">
      <w:pPr>
        <w:ind w:left="456"/>
      </w:pPr>
      <w:r w:rsidRPr="006100FD">
        <w:t xml:space="preserve">A modification period is used, i.e. updated SI (other than for ETWS and CMAS) is broadcasted in the modification period following the one where SI change indication is transmitted. </w:t>
      </w:r>
      <w:r w:rsidRPr="006100FD">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6100FD">
        <w:t>The UE receives indications about SI modifications and/or PWS notifications</w:t>
      </w:r>
      <w:r w:rsidRPr="006100FD" w:rsidDel="00402213">
        <w:t xml:space="preserve"> </w:t>
      </w:r>
      <w:r w:rsidRPr="006100FD">
        <w:t>using Short Message transmitted with P-RNTI over DCI (see clause 6.5). Repetitions of SI change indication may occur within preceding modification period.</w:t>
      </w:r>
    </w:p>
    <w:p w14:paraId="0134CA10" w14:textId="0735BB8F" w:rsidR="00E511AB" w:rsidRDefault="001D7750" w:rsidP="006B1256">
      <w:pPr>
        <w:pStyle w:val="BodyText"/>
      </w:pPr>
      <w:r w:rsidRPr="006100FD">
        <w:t>The modification period is calculated based on a modulo operation on SFN</w:t>
      </w:r>
      <w:r w:rsidR="00FB4C35" w:rsidRPr="006100FD">
        <w:t>.</w:t>
      </w:r>
      <w:r w:rsidRPr="006100FD">
        <w:t xml:space="preserve"> </w:t>
      </w:r>
      <w:r w:rsidR="00FB4C35" w:rsidRPr="006100FD">
        <w:t xml:space="preserve">The introduction of unaligned frame boundaries between serving cells within the cell group will mean some uncertainty as to when the period expires, as the SFN of an </w:t>
      </w:r>
      <w:proofErr w:type="spellStart"/>
      <w:r w:rsidR="00FB4C35" w:rsidRPr="006100FD">
        <w:t>SCell</w:t>
      </w:r>
      <w:proofErr w:type="spellEnd"/>
      <w:r w:rsidR="00FB4C35" w:rsidRPr="006100FD">
        <w:t xml:space="preserve"> may be offset from the </w:t>
      </w:r>
      <w:proofErr w:type="spellStart"/>
      <w:r w:rsidR="00FB4C35" w:rsidRPr="006100FD">
        <w:t>PCell</w:t>
      </w:r>
      <w:proofErr w:type="spellEnd"/>
      <w:r w:rsidR="00FB4C35" w:rsidRPr="006100FD">
        <w:t xml:space="preserve"> </w:t>
      </w:r>
      <w:r w:rsidR="00CD7933">
        <w:t xml:space="preserve">SFN </w:t>
      </w:r>
      <w:r w:rsidR="00FB4C35" w:rsidRPr="006100FD">
        <w:t>by up to one radio frame.</w:t>
      </w:r>
    </w:p>
    <w:p w14:paraId="3CB2EC0F" w14:textId="6E5F9D8B" w:rsidR="00E511AB" w:rsidRDefault="00E511AB" w:rsidP="00E511AB">
      <w:pPr>
        <w:pStyle w:val="Observation"/>
      </w:pPr>
      <w:bookmarkStart w:id="9" w:name="_Toc24060678"/>
      <w:r>
        <w:t xml:space="preserve">Unaligned frame boundaries </w:t>
      </w:r>
      <w:r w:rsidR="00F45A51">
        <w:t xml:space="preserve">within a cell group </w:t>
      </w:r>
      <w:r>
        <w:t>introduce</w:t>
      </w:r>
      <w:r w:rsidR="00F45A51">
        <w:t>s</w:t>
      </w:r>
      <w:r>
        <w:t xml:space="preserve"> ambiguity for the </w:t>
      </w:r>
      <w:r w:rsidR="00CD7933">
        <w:t>system information modification period</w:t>
      </w:r>
      <w:r>
        <w:t>.</w:t>
      </w:r>
      <w:bookmarkEnd w:id="9"/>
    </w:p>
    <w:p w14:paraId="25CC3D24" w14:textId="57D25FD2" w:rsidR="006100FD" w:rsidRDefault="006100FD" w:rsidP="006B1256">
      <w:pPr>
        <w:pStyle w:val="BodyText"/>
      </w:pPr>
      <w:r w:rsidRPr="006100FD">
        <w:t xml:space="preserve">It should therefore be clarified that the SFN used as reference should be the SFN of the </w:t>
      </w:r>
      <w:proofErr w:type="spellStart"/>
      <w:r w:rsidRPr="006100FD">
        <w:t>PCell</w:t>
      </w:r>
      <w:proofErr w:type="spellEnd"/>
      <w:r w:rsidRPr="006100FD">
        <w:t>.</w:t>
      </w:r>
      <w:r>
        <w:t xml:space="preserve"> The text could be updated as follows:</w:t>
      </w:r>
    </w:p>
    <w:p w14:paraId="7E15946A" w14:textId="158F9F28" w:rsidR="006100FD" w:rsidRPr="0096519C" w:rsidRDefault="006100FD" w:rsidP="006100FD">
      <w:pPr>
        <w:ind w:left="456"/>
      </w:pPr>
      <w:r w:rsidRPr="006100FD">
        <w:t xml:space="preserve">A modification period is used, i.e. updated SI (other than for ETWS and CMAS) is broadcasted in the modification period following the one where SI change indication is transmitted. </w:t>
      </w:r>
      <w:r w:rsidRPr="006100FD">
        <w:rPr>
          <w:rFonts w:eastAsia="SimSun"/>
          <w:lang w:eastAsia="zh-CN"/>
        </w:rPr>
        <w:t xml:space="preserve">The modification period boundaries are defined by </w:t>
      </w:r>
      <w:proofErr w:type="spellStart"/>
      <w:r>
        <w:rPr>
          <w:rFonts w:eastAsia="SimSun"/>
          <w:lang w:eastAsia="zh-CN"/>
        </w:rPr>
        <w:t>PCell</w:t>
      </w:r>
      <w:proofErr w:type="spellEnd"/>
      <w:r>
        <w:rPr>
          <w:rFonts w:eastAsia="SimSun"/>
          <w:lang w:eastAsia="zh-CN"/>
        </w:rPr>
        <w:t xml:space="preserve"> </w:t>
      </w:r>
      <w:r w:rsidRPr="006100FD">
        <w:rPr>
          <w:rFonts w:eastAsia="SimSun"/>
          <w:lang w:eastAsia="zh-CN"/>
        </w:rPr>
        <w:t xml:space="preserve">SFN values for which SFN mod m = 0, where m is the number of radio frames comprising the modification period. The modification period is configured by system information. </w:t>
      </w:r>
      <w:r w:rsidRPr="006100FD">
        <w:t>The UE receives indications about SI modifications and/or PWS notifications</w:t>
      </w:r>
      <w:r w:rsidRPr="006100FD" w:rsidDel="00402213">
        <w:t xml:space="preserve"> </w:t>
      </w:r>
      <w:r w:rsidRPr="006100FD">
        <w:t>using Short Message transmitted with P-RNTI over DCI (see clause 6.5). Repetitions of SI change indication may occur within preceding modification period.</w:t>
      </w:r>
    </w:p>
    <w:p w14:paraId="05881713" w14:textId="7A6AF2E8" w:rsidR="00A53469" w:rsidRDefault="00A53469" w:rsidP="00A53469">
      <w:pPr>
        <w:pStyle w:val="Proposal"/>
      </w:pPr>
      <w:bookmarkStart w:id="10" w:name="_Toc24060688"/>
      <w:r>
        <w:t xml:space="preserve">Update the system information modification period </w:t>
      </w:r>
      <w:r w:rsidR="002F43C2">
        <w:t>calculation</w:t>
      </w:r>
      <w:r>
        <w:t xml:space="preserve"> to clarify that the SFN used as reference </w:t>
      </w:r>
      <w:r w:rsidR="006100FD">
        <w:t xml:space="preserve">is the </w:t>
      </w:r>
      <w:r>
        <w:t>SFN</w:t>
      </w:r>
      <w:r w:rsidR="006100FD">
        <w:t xml:space="preserve"> of the </w:t>
      </w:r>
      <w:proofErr w:type="spellStart"/>
      <w:r w:rsidR="006100FD">
        <w:t>PCell</w:t>
      </w:r>
      <w:proofErr w:type="spellEnd"/>
      <w:r w:rsidR="006100FD">
        <w:t>.</w:t>
      </w:r>
      <w:bookmarkEnd w:id="10"/>
    </w:p>
    <w:p w14:paraId="278420E8" w14:textId="32D07178" w:rsidR="00C83EA3" w:rsidRDefault="00C83EA3" w:rsidP="00C83EA3">
      <w:pPr>
        <w:pStyle w:val="Heading2"/>
        <w:numPr>
          <w:ilvl w:val="2"/>
          <w:numId w:val="31"/>
        </w:numPr>
      </w:pPr>
      <w:r>
        <w:t xml:space="preserve"> System information window</w:t>
      </w:r>
    </w:p>
    <w:p w14:paraId="7A736B31" w14:textId="40B095D1" w:rsidR="00C83EA3" w:rsidRDefault="00C83EA3" w:rsidP="00C83EA3">
      <w:pPr>
        <w:pStyle w:val="BodyText"/>
      </w:pPr>
      <w:r>
        <w:t xml:space="preserve">Similar as for the system information modification period, the system information window </w:t>
      </w:r>
      <w:r w:rsidR="002F43C2">
        <w:t xml:space="preserve">calculation in 38.331, section 5.2.2.3.2 </w:t>
      </w:r>
      <w:r>
        <w:t>is also based on SFN</w:t>
      </w:r>
      <w:r w:rsidR="002F43C2">
        <w:t>:</w:t>
      </w:r>
    </w:p>
    <w:p w14:paraId="324F24F6" w14:textId="77777777" w:rsidR="002F43C2" w:rsidRPr="0096519C" w:rsidRDefault="002F43C2" w:rsidP="002F43C2">
      <w:pPr>
        <w:ind w:left="567"/>
        <w:rPr>
          <w:rFonts w:eastAsia="MS Mincho"/>
        </w:rPr>
      </w:pPr>
      <w:r w:rsidRPr="0096519C">
        <w:t>When acquiring an SI message, the UE shall:</w:t>
      </w:r>
    </w:p>
    <w:p w14:paraId="2149C9DC" w14:textId="77777777" w:rsidR="002F43C2" w:rsidRPr="0096519C" w:rsidRDefault="002F43C2" w:rsidP="002F43C2">
      <w:pPr>
        <w:pStyle w:val="B1"/>
        <w:ind w:left="1135"/>
      </w:pPr>
      <w:r w:rsidRPr="0096519C">
        <w:t>1&gt;</w:t>
      </w:r>
      <w:r w:rsidRPr="0096519C">
        <w:tab/>
        <w:t>determine the start of the SI-window for the concerned SI message as follows:</w:t>
      </w:r>
    </w:p>
    <w:p w14:paraId="26D1C441" w14:textId="77777777" w:rsidR="002F43C2" w:rsidRPr="0096519C" w:rsidRDefault="002F43C2" w:rsidP="002F43C2">
      <w:pPr>
        <w:pStyle w:val="B2"/>
        <w:ind w:left="1418"/>
      </w:pPr>
      <w:r w:rsidRPr="0096519C">
        <w:lastRenderedPageBreak/>
        <w:t>2&gt;</w:t>
      </w:r>
      <w:r w:rsidRPr="0096519C">
        <w:tab/>
        <w:t xml:space="preserve">for the concerned SI message, determine the number </w:t>
      </w:r>
      <w:proofErr w:type="spellStart"/>
      <w:r w:rsidRPr="0096519C">
        <w:rPr>
          <w:i/>
        </w:rPr>
        <w:t>n</w:t>
      </w:r>
      <w:proofErr w:type="spellEnd"/>
      <w:r w:rsidRPr="0096519C">
        <w:t xml:space="preserve"> which corresponds to the order of entry in the list of SI messages configured by </w:t>
      </w:r>
      <w:proofErr w:type="spellStart"/>
      <w:r w:rsidRPr="0096519C">
        <w:rPr>
          <w:i/>
        </w:rPr>
        <w:t>schedulingInfoList</w:t>
      </w:r>
      <w:proofErr w:type="spellEnd"/>
      <w:r w:rsidRPr="0096519C">
        <w:rPr>
          <w:i/>
        </w:rPr>
        <w:t xml:space="preserve"> </w:t>
      </w:r>
      <w:r w:rsidRPr="0096519C">
        <w:t xml:space="preserve">in </w:t>
      </w:r>
      <w:proofErr w:type="spellStart"/>
      <w:r w:rsidRPr="0096519C">
        <w:rPr>
          <w:i/>
        </w:rPr>
        <w:t>si-SchedulingInfo</w:t>
      </w:r>
      <w:proofErr w:type="spellEnd"/>
      <w:r w:rsidRPr="0096519C">
        <w:t xml:space="preserve"> in </w:t>
      </w:r>
      <w:r w:rsidRPr="0096519C">
        <w:rPr>
          <w:i/>
        </w:rPr>
        <w:t>SIB1</w:t>
      </w:r>
      <w:r w:rsidRPr="0096519C">
        <w:t>;</w:t>
      </w:r>
    </w:p>
    <w:p w14:paraId="5862C874" w14:textId="77777777" w:rsidR="002F43C2" w:rsidRPr="0096519C" w:rsidRDefault="002F43C2" w:rsidP="002F43C2">
      <w:pPr>
        <w:pStyle w:val="B2"/>
        <w:ind w:left="1418"/>
      </w:pPr>
      <w:r w:rsidRPr="0096519C">
        <w:t>2&gt;</w:t>
      </w:r>
      <w:r w:rsidRPr="0096519C">
        <w:tab/>
        <w:t xml:space="preserve">determine the integer value </w:t>
      </w:r>
      <w:r w:rsidRPr="0096519C">
        <w:rPr>
          <w:i/>
        </w:rPr>
        <w:t>x = (n – 1) × w</w:t>
      </w:r>
      <w:r w:rsidRPr="0096519C">
        <w:t xml:space="preserve">, where </w:t>
      </w:r>
      <w:r w:rsidRPr="0096519C">
        <w:rPr>
          <w:i/>
        </w:rPr>
        <w:t>w</w:t>
      </w:r>
      <w:r w:rsidRPr="0096519C">
        <w:t xml:space="preserve"> is the </w:t>
      </w:r>
      <w:proofErr w:type="spellStart"/>
      <w:r w:rsidRPr="0096519C">
        <w:rPr>
          <w:i/>
        </w:rPr>
        <w:t>si-WindowLength</w:t>
      </w:r>
      <w:proofErr w:type="spellEnd"/>
      <w:r w:rsidRPr="0096519C">
        <w:t>;</w:t>
      </w:r>
    </w:p>
    <w:p w14:paraId="60B0F7FC" w14:textId="77777777" w:rsidR="002F43C2" w:rsidRPr="0096519C" w:rsidRDefault="002F43C2" w:rsidP="002F43C2">
      <w:pPr>
        <w:pStyle w:val="B2"/>
        <w:ind w:left="1418"/>
      </w:pPr>
      <w:r w:rsidRPr="0096519C">
        <w:t>2&gt;</w:t>
      </w:r>
      <w:r w:rsidRPr="0096519C">
        <w:tab/>
        <w:t>the SI-window starts at the slot #</w:t>
      </w:r>
      <w:r w:rsidRPr="0096519C">
        <w:rPr>
          <w:i/>
        </w:rPr>
        <w:t>a</w:t>
      </w:r>
      <w:r w:rsidRPr="0096519C">
        <w:t xml:space="preserve">, where </w:t>
      </w:r>
      <w:r w:rsidRPr="0096519C">
        <w:rPr>
          <w:i/>
        </w:rPr>
        <w:t>a</w:t>
      </w:r>
      <w:r w:rsidRPr="0096519C">
        <w:t xml:space="preserve"> = </w:t>
      </w:r>
      <w:r w:rsidRPr="0096519C">
        <w:rPr>
          <w:i/>
        </w:rPr>
        <w:t>x</w:t>
      </w:r>
      <w:r w:rsidRPr="0096519C">
        <w:t xml:space="preserve"> mod N, in the radio frame for which SFN mod </w:t>
      </w:r>
      <w:r w:rsidRPr="0096519C">
        <w:rPr>
          <w:i/>
        </w:rPr>
        <w:t>T</w:t>
      </w:r>
      <w:r w:rsidRPr="0096519C">
        <w:t xml:space="preserve"> = FLOOR(</w:t>
      </w:r>
      <w:r w:rsidRPr="0096519C">
        <w:rPr>
          <w:i/>
        </w:rPr>
        <w:t>x</w:t>
      </w:r>
      <w:r w:rsidRPr="0096519C">
        <w:t xml:space="preserve">/N), where </w:t>
      </w:r>
      <w:r w:rsidRPr="0096519C">
        <w:rPr>
          <w:i/>
        </w:rPr>
        <w:t>T</w:t>
      </w:r>
      <w:r w:rsidRPr="0096519C">
        <w:t xml:space="preserve"> is the </w:t>
      </w:r>
      <w:proofErr w:type="spellStart"/>
      <w:r w:rsidRPr="0096519C">
        <w:rPr>
          <w:i/>
        </w:rPr>
        <w:t>si</w:t>
      </w:r>
      <w:proofErr w:type="spellEnd"/>
      <w:r w:rsidRPr="0096519C">
        <w:rPr>
          <w:i/>
        </w:rPr>
        <w:t>-Periodicity</w:t>
      </w:r>
      <w:r w:rsidRPr="0096519C">
        <w:t xml:space="preserve"> of the concerned SI message and N is the number of slots in a radio frame as specified in TS 38.213 [13];</w:t>
      </w:r>
    </w:p>
    <w:p w14:paraId="0C5E68CC" w14:textId="33691200" w:rsidR="00CD7933" w:rsidRDefault="00CD7933" w:rsidP="00C83EA3">
      <w:pPr>
        <w:pStyle w:val="BodyText"/>
      </w:pPr>
      <w:r>
        <w:t>The SI-window</w:t>
      </w:r>
      <w:r w:rsidRPr="006100FD">
        <w:t xml:space="preserve"> period is calculated based on a modulo operation on SFN. The introduction of unaligned frame boundaries between serving cells within the cell group will mean some uncertainty as to when the </w:t>
      </w:r>
      <w:r>
        <w:t xml:space="preserve">window </w:t>
      </w:r>
      <w:r w:rsidRPr="006100FD">
        <w:t xml:space="preserve">expires, as the SFN of an </w:t>
      </w:r>
      <w:proofErr w:type="spellStart"/>
      <w:r w:rsidRPr="006100FD">
        <w:t>SCell</w:t>
      </w:r>
      <w:proofErr w:type="spellEnd"/>
      <w:r w:rsidRPr="006100FD">
        <w:t xml:space="preserve"> may be offset from the </w:t>
      </w:r>
      <w:proofErr w:type="spellStart"/>
      <w:r w:rsidRPr="006100FD">
        <w:t>PCell</w:t>
      </w:r>
      <w:proofErr w:type="spellEnd"/>
      <w:r>
        <w:t xml:space="preserve"> SFN</w:t>
      </w:r>
      <w:r w:rsidRPr="006100FD">
        <w:t xml:space="preserve"> by up to one radio frame</w:t>
      </w:r>
      <w:r>
        <w:t>.</w:t>
      </w:r>
    </w:p>
    <w:p w14:paraId="6752B19B" w14:textId="650AE77D" w:rsidR="00CD7933" w:rsidRDefault="00CD7933" w:rsidP="00CD7933">
      <w:pPr>
        <w:pStyle w:val="Observation"/>
      </w:pPr>
      <w:bookmarkStart w:id="11" w:name="_Toc24060679"/>
      <w:r>
        <w:t>Unaligned frame boundaries</w:t>
      </w:r>
      <w:r w:rsidR="00F45A51" w:rsidRPr="00F45A51">
        <w:t xml:space="preserve"> </w:t>
      </w:r>
      <w:r w:rsidR="00F45A51">
        <w:t>within a cell group</w:t>
      </w:r>
      <w:r>
        <w:t xml:space="preserve"> introduce</w:t>
      </w:r>
      <w:r w:rsidR="00F45A51">
        <w:t>s</w:t>
      </w:r>
      <w:r>
        <w:t xml:space="preserve"> ambiguity for the system information window.</w:t>
      </w:r>
      <w:bookmarkEnd w:id="11"/>
    </w:p>
    <w:p w14:paraId="0BB07F10" w14:textId="33ED9AA3" w:rsidR="002F43C2" w:rsidRDefault="0068517D" w:rsidP="00C83EA3">
      <w:pPr>
        <w:pStyle w:val="BodyText"/>
      </w:pPr>
      <w:r>
        <w:t>I</w:t>
      </w:r>
      <w:r w:rsidR="002F43C2">
        <w:t xml:space="preserve">t should </w:t>
      </w:r>
      <w:r>
        <w:t xml:space="preserve">therefore </w:t>
      </w:r>
      <w:r w:rsidR="002F43C2">
        <w:t xml:space="preserve">be clarified that the SFN to use as basis for the system information window </w:t>
      </w:r>
      <w:r>
        <w:t xml:space="preserve">calculation </w:t>
      </w:r>
      <w:r w:rsidR="002F43C2">
        <w:t xml:space="preserve">shall be the </w:t>
      </w:r>
      <w:proofErr w:type="spellStart"/>
      <w:r w:rsidR="002F43C2">
        <w:t>PCell</w:t>
      </w:r>
      <w:proofErr w:type="spellEnd"/>
      <w:r w:rsidR="002F43C2">
        <w:t xml:space="preserve"> SFN, e.g. by following change:</w:t>
      </w:r>
    </w:p>
    <w:p w14:paraId="7F6CFD5E" w14:textId="77777777" w:rsidR="002F43C2" w:rsidRPr="0096519C" w:rsidRDefault="002F43C2" w:rsidP="002F43C2">
      <w:pPr>
        <w:ind w:left="567"/>
        <w:rPr>
          <w:rFonts w:eastAsia="MS Mincho"/>
        </w:rPr>
      </w:pPr>
      <w:r w:rsidRPr="0096519C">
        <w:t>When acquiring an SI message, the UE shall:</w:t>
      </w:r>
    </w:p>
    <w:p w14:paraId="13410E90" w14:textId="77777777" w:rsidR="002F43C2" w:rsidRPr="0096519C" w:rsidRDefault="002F43C2" w:rsidP="002F43C2">
      <w:pPr>
        <w:pStyle w:val="B1"/>
        <w:ind w:left="1135"/>
      </w:pPr>
      <w:r w:rsidRPr="0096519C">
        <w:t>1&gt;</w:t>
      </w:r>
      <w:r w:rsidRPr="0096519C">
        <w:tab/>
        <w:t>determine the start of the SI-window for the concerned SI message as follows:</w:t>
      </w:r>
    </w:p>
    <w:p w14:paraId="41D87744" w14:textId="77777777" w:rsidR="002F43C2" w:rsidRPr="0096519C" w:rsidRDefault="002F43C2" w:rsidP="002F43C2">
      <w:pPr>
        <w:pStyle w:val="B2"/>
        <w:ind w:left="1418"/>
      </w:pPr>
      <w:r w:rsidRPr="0096519C">
        <w:t>2&gt;</w:t>
      </w:r>
      <w:r w:rsidRPr="0096519C">
        <w:tab/>
        <w:t xml:space="preserve">for the concerned SI message, determine the number </w:t>
      </w:r>
      <w:proofErr w:type="spellStart"/>
      <w:r w:rsidRPr="0096519C">
        <w:rPr>
          <w:i/>
        </w:rPr>
        <w:t>n</w:t>
      </w:r>
      <w:proofErr w:type="spellEnd"/>
      <w:r w:rsidRPr="0096519C">
        <w:t xml:space="preserve"> which corresponds to the order of entry in the list of SI messages configured by </w:t>
      </w:r>
      <w:proofErr w:type="spellStart"/>
      <w:r w:rsidRPr="0096519C">
        <w:rPr>
          <w:i/>
        </w:rPr>
        <w:t>schedulingInfoList</w:t>
      </w:r>
      <w:proofErr w:type="spellEnd"/>
      <w:r w:rsidRPr="0096519C">
        <w:rPr>
          <w:i/>
        </w:rPr>
        <w:t xml:space="preserve"> </w:t>
      </w:r>
      <w:r w:rsidRPr="0096519C">
        <w:t xml:space="preserve">in </w:t>
      </w:r>
      <w:proofErr w:type="spellStart"/>
      <w:r w:rsidRPr="0096519C">
        <w:rPr>
          <w:i/>
        </w:rPr>
        <w:t>si-SchedulingInfo</w:t>
      </w:r>
      <w:proofErr w:type="spellEnd"/>
      <w:r w:rsidRPr="0096519C">
        <w:t xml:space="preserve"> in </w:t>
      </w:r>
      <w:r w:rsidRPr="0096519C">
        <w:rPr>
          <w:i/>
        </w:rPr>
        <w:t>SIB1</w:t>
      </w:r>
      <w:r w:rsidRPr="0096519C">
        <w:t>;</w:t>
      </w:r>
    </w:p>
    <w:p w14:paraId="28643416" w14:textId="77777777" w:rsidR="002F43C2" w:rsidRPr="0096519C" w:rsidRDefault="002F43C2" w:rsidP="002F43C2">
      <w:pPr>
        <w:pStyle w:val="B2"/>
        <w:ind w:left="1418"/>
      </w:pPr>
      <w:r w:rsidRPr="0096519C">
        <w:t>2&gt;</w:t>
      </w:r>
      <w:r w:rsidRPr="0096519C">
        <w:tab/>
        <w:t xml:space="preserve">determine the integer value </w:t>
      </w:r>
      <w:r w:rsidRPr="0096519C">
        <w:rPr>
          <w:i/>
        </w:rPr>
        <w:t>x = (n – 1) × w</w:t>
      </w:r>
      <w:r w:rsidRPr="0096519C">
        <w:t xml:space="preserve">, where </w:t>
      </w:r>
      <w:r w:rsidRPr="0096519C">
        <w:rPr>
          <w:i/>
        </w:rPr>
        <w:t>w</w:t>
      </w:r>
      <w:r w:rsidRPr="0096519C">
        <w:t xml:space="preserve"> is the </w:t>
      </w:r>
      <w:proofErr w:type="spellStart"/>
      <w:r w:rsidRPr="0096519C">
        <w:rPr>
          <w:i/>
        </w:rPr>
        <w:t>si-WindowLength</w:t>
      </w:r>
      <w:proofErr w:type="spellEnd"/>
      <w:r w:rsidRPr="0096519C">
        <w:t>;</w:t>
      </w:r>
    </w:p>
    <w:p w14:paraId="272EF54D" w14:textId="52DB63B9" w:rsidR="002F43C2" w:rsidRPr="0096519C" w:rsidRDefault="002F43C2" w:rsidP="002F43C2">
      <w:pPr>
        <w:pStyle w:val="B2"/>
        <w:ind w:left="1418"/>
      </w:pPr>
      <w:r w:rsidRPr="0096519C">
        <w:t>2&gt;</w:t>
      </w:r>
      <w:r w:rsidRPr="0096519C">
        <w:tab/>
        <w:t>the SI-window starts at the slot #</w:t>
      </w:r>
      <w:r w:rsidRPr="0096519C">
        <w:rPr>
          <w:i/>
        </w:rPr>
        <w:t>a</w:t>
      </w:r>
      <w:r w:rsidRPr="0096519C">
        <w:t xml:space="preserve">, where </w:t>
      </w:r>
      <w:r w:rsidRPr="0096519C">
        <w:rPr>
          <w:i/>
        </w:rPr>
        <w:t>a</w:t>
      </w:r>
      <w:r w:rsidRPr="0096519C">
        <w:t xml:space="preserve"> = </w:t>
      </w:r>
      <w:r w:rsidRPr="0096519C">
        <w:rPr>
          <w:i/>
        </w:rPr>
        <w:t>x</w:t>
      </w:r>
      <w:r w:rsidRPr="0096519C">
        <w:t xml:space="preserve"> mod N, in the radio frame for which </w:t>
      </w:r>
      <w:proofErr w:type="spellStart"/>
      <w:r>
        <w:t>PCell</w:t>
      </w:r>
      <w:proofErr w:type="spellEnd"/>
      <w:r>
        <w:t xml:space="preserve"> </w:t>
      </w:r>
      <w:r w:rsidRPr="0096519C">
        <w:t xml:space="preserve">SFN mod </w:t>
      </w:r>
      <w:r w:rsidRPr="0096519C">
        <w:rPr>
          <w:i/>
        </w:rPr>
        <w:t>T</w:t>
      </w:r>
      <w:r w:rsidRPr="0096519C">
        <w:t xml:space="preserve"> = FLOOR(</w:t>
      </w:r>
      <w:r w:rsidRPr="0096519C">
        <w:rPr>
          <w:i/>
        </w:rPr>
        <w:t>x</w:t>
      </w:r>
      <w:r w:rsidRPr="0096519C">
        <w:t xml:space="preserve">/N), where </w:t>
      </w:r>
      <w:r w:rsidRPr="0096519C">
        <w:rPr>
          <w:i/>
        </w:rPr>
        <w:t>T</w:t>
      </w:r>
      <w:r w:rsidRPr="0096519C">
        <w:t xml:space="preserve"> is the </w:t>
      </w:r>
      <w:proofErr w:type="spellStart"/>
      <w:r w:rsidRPr="0096519C">
        <w:rPr>
          <w:i/>
        </w:rPr>
        <w:t>si</w:t>
      </w:r>
      <w:proofErr w:type="spellEnd"/>
      <w:r w:rsidRPr="0096519C">
        <w:rPr>
          <w:i/>
        </w:rPr>
        <w:t>-Periodicity</w:t>
      </w:r>
      <w:r w:rsidRPr="0096519C">
        <w:t xml:space="preserve"> of the concerned SI message and N is the number of slots in a radio frame as specified in TS 38.213 [13];</w:t>
      </w:r>
    </w:p>
    <w:p w14:paraId="658D96A5" w14:textId="73F59F93" w:rsidR="002F43C2" w:rsidRDefault="002F43C2" w:rsidP="002F43C2">
      <w:pPr>
        <w:pStyle w:val="Proposal"/>
      </w:pPr>
      <w:bookmarkStart w:id="12" w:name="_Toc24060689"/>
      <w:r>
        <w:t xml:space="preserve">Update the system information window calculation to clarify that the SFN used as reference is the SFN of the </w:t>
      </w:r>
      <w:proofErr w:type="spellStart"/>
      <w:r>
        <w:t>PCell</w:t>
      </w:r>
      <w:proofErr w:type="spellEnd"/>
      <w:r>
        <w:t>.</w:t>
      </w:r>
      <w:bookmarkEnd w:id="12"/>
    </w:p>
    <w:p w14:paraId="3B604662" w14:textId="123CBDFA" w:rsidR="00087C8C" w:rsidRDefault="00087C8C" w:rsidP="00087C8C">
      <w:pPr>
        <w:pStyle w:val="Heading2"/>
        <w:numPr>
          <w:ilvl w:val="2"/>
          <w:numId w:val="31"/>
        </w:numPr>
      </w:pPr>
      <w:r>
        <w:t xml:space="preserve"> </w:t>
      </w:r>
      <w:r w:rsidRPr="00087C8C">
        <w:t>Reference signal measurement timing configuration</w:t>
      </w:r>
    </w:p>
    <w:p w14:paraId="4D8171C0" w14:textId="66CC2A31" w:rsidR="006B1256" w:rsidRPr="006B1256" w:rsidRDefault="00D36C87" w:rsidP="00D36C87">
      <w:pPr>
        <w:pStyle w:val="BodyText"/>
      </w:pPr>
      <w:r w:rsidRPr="00D36C87">
        <w:t xml:space="preserve">The </w:t>
      </w:r>
      <w:r>
        <w:t xml:space="preserve">calculation of </w:t>
      </w:r>
      <w:r w:rsidRPr="00D36C87">
        <w:t xml:space="preserve">SMTC occasion </w:t>
      </w:r>
      <w:r>
        <w:t xml:space="preserve">is based on </w:t>
      </w:r>
      <w:r w:rsidRPr="00D36C87">
        <w:t xml:space="preserve">SFN and subframe of the NR </w:t>
      </w:r>
      <w:proofErr w:type="spellStart"/>
      <w:r w:rsidRPr="00D36C87">
        <w:t>SpCell</w:t>
      </w:r>
      <w:proofErr w:type="spellEnd"/>
      <w:r>
        <w:t xml:space="preserve">. </w:t>
      </w:r>
      <w:proofErr w:type="gramStart"/>
      <w:r>
        <w:t>Thus</w:t>
      </w:r>
      <w:proofErr w:type="gramEnd"/>
      <w:r>
        <w:t xml:space="preserve"> there </w:t>
      </w:r>
      <w:r w:rsidR="00E511AB">
        <w:t>is</w:t>
      </w:r>
      <w:r>
        <w:t xml:space="preserve"> no ambiguity.</w:t>
      </w:r>
    </w:p>
    <w:p w14:paraId="49B8D430" w14:textId="20BBF0A0" w:rsidR="00E511AB" w:rsidRDefault="00E511AB" w:rsidP="00E511AB">
      <w:pPr>
        <w:pStyle w:val="Observation"/>
      </w:pPr>
      <w:bookmarkStart w:id="13" w:name="_Toc24060680"/>
      <w:r>
        <w:t xml:space="preserve">Unaligned frame boundaries </w:t>
      </w:r>
      <w:r w:rsidR="00F45A51">
        <w:t xml:space="preserve">within a cell group </w:t>
      </w:r>
      <w:r>
        <w:t>introduce</w:t>
      </w:r>
      <w:r w:rsidR="00F45A51">
        <w:t>s</w:t>
      </w:r>
      <w:r>
        <w:t xml:space="preserve"> no ambiguity for the r</w:t>
      </w:r>
      <w:r w:rsidRPr="00087C8C">
        <w:t>eference signal measurement timing configuration</w:t>
      </w:r>
      <w:r>
        <w:t>.</w:t>
      </w:r>
      <w:bookmarkEnd w:id="13"/>
    </w:p>
    <w:p w14:paraId="6F0C4F1F" w14:textId="131B10C0" w:rsidR="00F76C9E" w:rsidRDefault="00997231" w:rsidP="00F76C9E">
      <w:pPr>
        <w:pStyle w:val="Heading2"/>
        <w:numPr>
          <w:ilvl w:val="1"/>
          <w:numId w:val="31"/>
        </w:numPr>
      </w:pPr>
      <w:r>
        <w:t xml:space="preserve"> </w:t>
      </w:r>
      <w:r w:rsidR="00F76C9E">
        <w:t>U</w:t>
      </w:r>
      <w:r w:rsidR="003B3593">
        <w:t>ser plane</w:t>
      </w:r>
    </w:p>
    <w:p w14:paraId="375C10E3" w14:textId="5901FDD3" w:rsidR="00E95395" w:rsidRPr="00E95395" w:rsidRDefault="00E95395" w:rsidP="00930895">
      <w:pPr>
        <w:pStyle w:val="BodyText"/>
      </w:pPr>
      <w:r>
        <w:t>In this section we discuss possible impact from the unaligned frame boundary on user plane operation</w:t>
      </w:r>
      <w:r w:rsidR="00C252FF">
        <w:t>.</w:t>
      </w:r>
      <w:r w:rsidR="0075482B">
        <w:t xml:space="preserve"> A similar analysis was also provided in </w:t>
      </w:r>
      <w:r w:rsidR="0075482B">
        <w:fldChar w:fldCharType="begin"/>
      </w:r>
      <w:r w:rsidR="0075482B">
        <w:instrText xml:space="preserve"> REF _Ref23326435 \n \h </w:instrText>
      </w:r>
      <w:r w:rsidR="0075482B">
        <w:fldChar w:fldCharType="separate"/>
      </w:r>
      <w:r w:rsidR="0075482B">
        <w:t>[2]</w:t>
      </w:r>
      <w:r w:rsidR="0075482B">
        <w:fldChar w:fldCharType="end"/>
      </w:r>
      <w:r w:rsidR="0075482B">
        <w:t>.</w:t>
      </w:r>
    </w:p>
    <w:p w14:paraId="0B946C8A" w14:textId="0686C42A" w:rsidR="00471DCB" w:rsidRPr="00AD2091" w:rsidRDefault="00620EC9" w:rsidP="00620EC9">
      <w:pPr>
        <w:pStyle w:val="Heading3"/>
        <w:rPr>
          <w:lang w:eastAsia="zh-CN"/>
        </w:rPr>
      </w:pPr>
      <w:r>
        <w:rPr>
          <w:lang w:eastAsia="zh-CN"/>
        </w:rPr>
        <w:t>2.</w:t>
      </w:r>
      <w:r w:rsidR="00885DEB">
        <w:rPr>
          <w:lang w:eastAsia="zh-CN"/>
        </w:rPr>
        <w:t>2</w:t>
      </w:r>
      <w:r>
        <w:rPr>
          <w:lang w:eastAsia="zh-CN"/>
        </w:rPr>
        <w:t>.1 S</w:t>
      </w:r>
      <w:r w:rsidR="00C252FF">
        <w:rPr>
          <w:lang w:eastAsia="zh-CN"/>
        </w:rPr>
        <w:t>emi-persistent scheduling</w:t>
      </w:r>
    </w:p>
    <w:p w14:paraId="5F481586" w14:textId="24470E0B" w:rsidR="00C17970" w:rsidRDefault="00C252FF" w:rsidP="00930895">
      <w:pPr>
        <w:pStyle w:val="BodyText"/>
        <w:rPr>
          <w:bCs/>
        </w:rPr>
      </w:pPr>
      <w:r>
        <w:rPr>
          <w:bCs/>
        </w:rPr>
        <w:t>Semi-persistent scheduling (SPS) is configured</w:t>
      </w:r>
      <w:r w:rsidR="00C17970">
        <w:rPr>
          <w:bCs/>
        </w:rPr>
        <w:t xml:space="preserve"> by RRC</w:t>
      </w:r>
      <w:r>
        <w:rPr>
          <w:bCs/>
        </w:rPr>
        <w:t xml:space="preserve"> per servi</w:t>
      </w:r>
      <w:r w:rsidR="00C17970">
        <w:rPr>
          <w:bCs/>
        </w:rPr>
        <w:t>ng</w:t>
      </w:r>
      <w:r>
        <w:rPr>
          <w:bCs/>
        </w:rPr>
        <w:t xml:space="preserve"> cell</w:t>
      </w:r>
      <w:r w:rsidR="00C17970">
        <w:rPr>
          <w:bCs/>
        </w:rPr>
        <w:t xml:space="preserve"> and per bandwidth part</w:t>
      </w:r>
      <w:r>
        <w:rPr>
          <w:bCs/>
        </w:rPr>
        <w:t xml:space="preserve">. </w:t>
      </w:r>
      <w:r w:rsidR="00C17970">
        <w:rPr>
          <w:bCs/>
        </w:rPr>
        <w:t xml:space="preserve">A </w:t>
      </w:r>
      <w:r w:rsidR="00C17970" w:rsidRPr="00C964D7">
        <w:t xml:space="preserve">DL assignment is provided by </w:t>
      </w:r>
      <w:proofErr w:type="gramStart"/>
      <w:r w:rsidR="00C17970" w:rsidRPr="00C964D7">
        <w:t>PDCCH, and</w:t>
      </w:r>
      <w:proofErr w:type="gramEnd"/>
      <w:r w:rsidR="00C17970" w:rsidRPr="00C964D7">
        <w:t xml:space="preserve"> stored or cleared based on L1 signalling indicating SPS activation or deactivation</w:t>
      </w:r>
      <w:r w:rsidR="000779F1">
        <w:t>. The activation/deactivation is independent among the serving cells</w:t>
      </w:r>
      <w:r w:rsidR="00C17970">
        <w:t>. The timing of the sequential downlink assignments is</w:t>
      </w:r>
      <w:r w:rsidR="004B3292">
        <w:t xml:space="preserve"> on slot granularity,</w:t>
      </w:r>
      <w:r w:rsidR="00C17970">
        <w:t xml:space="preserve"> calculated based on the SFN start time and slot time of the first transmission of PDSCH</w:t>
      </w:r>
      <w:r w:rsidR="004B3292">
        <w:t xml:space="preserve">. </w:t>
      </w:r>
    </w:p>
    <w:p w14:paraId="4A0D06A4" w14:textId="4F32F120" w:rsidR="00C252FF" w:rsidRDefault="00C252FF" w:rsidP="00930895">
      <w:pPr>
        <w:pStyle w:val="BodyText"/>
      </w:pPr>
      <w:r>
        <w:t>In the description</w:t>
      </w:r>
      <w:r w:rsidR="004B3292">
        <w:t xml:space="preserve"> of the </w:t>
      </w:r>
      <w:r w:rsidR="000779F1">
        <w:t xml:space="preserve">38.331 </w:t>
      </w:r>
      <w:r w:rsidR="004B3292">
        <w:t xml:space="preserve">IE </w:t>
      </w:r>
      <w:r w:rsidR="004B3292" w:rsidRPr="000779F1">
        <w:rPr>
          <w:i/>
        </w:rPr>
        <w:t>SPS-Config</w:t>
      </w:r>
      <w:r w:rsidR="004B3292">
        <w:t xml:space="preserve"> used to configure SPS,</w:t>
      </w:r>
      <w:r>
        <w:t xml:space="preserve"> there is a limitation that SPS is configured for at most one cell in a cell group: </w:t>
      </w:r>
    </w:p>
    <w:p w14:paraId="166B60D4" w14:textId="2D086D29" w:rsidR="00AD2091" w:rsidRDefault="00AD2091" w:rsidP="00AD2091">
      <w:pPr>
        <w:ind w:left="567"/>
        <w:rPr>
          <w:i/>
        </w:rPr>
      </w:pPr>
      <w:r w:rsidRPr="00C252FF">
        <w:rPr>
          <w:i/>
        </w:rPr>
        <w:t xml:space="preserve">The IE SPS-Config is used to configure downlink semi-persistent transmission. Downlink SPS may be configured on the </w:t>
      </w:r>
      <w:proofErr w:type="spellStart"/>
      <w:r w:rsidRPr="00C252FF">
        <w:rPr>
          <w:i/>
        </w:rPr>
        <w:t>SpCell</w:t>
      </w:r>
      <w:proofErr w:type="spellEnd"/>
      <w:r w:rsidRPr="00C252FF">
        <w:rPr>
          <w:i/>
        </w:rPr>
        <w:t xml:space="preserve"> as well as on </w:t>
      </w:r>
      <w:proofErr w:type="spellStart"/>
      <w:r w:rsidRPr="00C252FF">
        <w:rPr>
          <w:i/>
        </w:rPr>
        <w:t>SCells</w:t>
      </w:r>
      <w:proofErr w:type="spellEnd"/>
      <w:r w:rsidRPr="00C252FF">
        <w:rPr>
          <w:i/>
        </w:rPr>
        <w:t xml:space="preserve">. </w:t>
      </w:r>
      <w:r w:rsidRPr="004B3292">
        <w:rPr>
          <w:i/>
          <w:u w:val="single"/>
        </w:rPr>
        <w:t>The network ensures SPS-Config is configured for at most one cell in a cell group</w:t>
      </w:r>
      <w:r w:rsidRPr="004B3292">
        <w:rPr>
          <w:i/>
        </w:rPr>
        <w:t>.</w:t>
      </w:r>
    </w:p>
    <w:p w14:paraId="375090B1" w14:textId="518CBF83" w:rsidR="00C252FF" w:rsidRPr="00C252FF" w:rsidRDefault="00C252FF" w:rsidP="00930895">
      <w:pPr>
        <w:pStyle w:val="BodyText"/>
      </w:pPr>
      <w:r>
        <w:t>Therefore, there appears to be no impact from unaligned frame boundaries</w:t>
      </w:r>
      <w:r w:rsidR="0046692D">
        <w:t xml:space="preserve"> between serving cells</w:t>
      </w:r>
      <w:r>
        <w:t xml:space="preserve"> on SPS.</w:t>
      </w:r>
    </w:p>
    <w:p w14:paraId="2E5AA298" w14:textId="5DCB3A72" w:rsidR="00E95395" w:rsidRDefault="00FE79BB" w:rsidP="00C252FF">
      <w:pPr>
        <w:pStyle w:val="Observation"/>
      </w:pPr>
      <w:bookmarkStart w:id="14" w:name="_Toc24060681"/>
      <w:r>
        <w:t>No impact expected</w:t>
      </w:r>
      <w:r w:rsidR="00C252FF">
        <w:t xml:space="preserve"> from unaligned frame boundaries</w:t>
      </w:r>
      <w:r w:rsidR="00F45A51" w:rsidRPr="00F45A51">
        <w:t xml:space="preserve"> </w:t>
      </w:r>
      <w:r w:rsidR="00F45A51">
        <w:t>within a cell group</w:t>
      </w:r>
      <w:r w:rsidR="00C252FF">
        <w:t xml:space="preserve"> on semi-persistent scheduling.</w:t>
      </w:r>
      <w:bookmarkEnd w:id="14"/>
    </w:p>
    <w:p w14:paraId="30E20989" w14:textId="52971007" w:rsidR="00620EC9" w:rsidRDefault="00620EC9" w:rsidP="00620EC9">
      <w:pPr>
        <w:pStyle w:val="Heading3"/>
      </w:pPr>
      <w:r>
        <w:lastRenderedPageBreak/>
        <w:t>2.</w:t>
      </w:r>
      <w:r w:rsidR="00885DEB">
        <w:t>2</w:t>
      </w:r>
      <w:r>
        <w:t xml:space="preserve">.2 </w:t>
      </w:r>
      <w:r w:rsidR="00C252FF">
        <w:t>Configured grant</w:t>
      </w:r>
    </w:p>
    <w:p w14:paraId="4790DBAE" w14:textId="4A944ABF" w:rsidR="00C252FF" w:rsidRDefault="00C252FF" w:rsidP="00930895">
      <w:pPr>
        <w:pStyle w:val="BodyText"/>
      </w:pPr>
      <w:r>
        <w:t>Similar to SPS, configured grants (CG) are configured</w:t>
      </w:r>
      <w:r w:rsidR="005F5F16">
        <w:t xml:space="preserve"> by RRC</w:t>
      </w:r>
      <w:r>
        <w:t xml:space="preserve"> per serving cell</w:t>
      </w:r>
      <w:r w:rsidR="004F4D0D">
        <w:t xml:space="preserve"> and per bandwidth part</w:t>
      </w:r>
      <w:r>
        <w:t xml:space="preserve">. </w:t>
      </w:r>
      <w:r w:rsidR="005F5F16">
        <w:t xml:space="preserve">Type 1 configured grants are configured completely with RRC, whereas for type 2 cs-RNTI, periodicity and </w:t>
      </w:r>
      <w:proofErr w:type="spellStart"/>
      <w:r w:rsidR="005F5F16">
        <w:t>nrofHARQ</w:t>
      </w:r>
      <w:proofErr w:type="spellEnd"/>
      <w:r w:rsidR="005F5F16">
        <w:t xml:space="preserve">-Processes are configured by RRC, but the grants are signalled by PDCCH. There can be multiple configured grant configurations active simultaneously. </w:t>
      </w:r>
      <w:r w:rsidR="00FE79BB">
        <w:t>As for SPS, the timing of sequential uplink grants is on slot granularity, for type2 calculated based on the SFN start time and slot time of the first transmission opportunity of PUSCH.</w:t>
      </w:r>
    </w:p>
    <w:p w14:paraId="18F82423" w14:textId="66A08A40" w:rsidR="00FE79BB" w:rsidRDefault="00FE79BB" w:rsidP="00930895">
      <w:pPr>
        <w:pStyle w:val="BodyText"/>
      </w:pPr>
      <w:r>
        <w:t xml:space="preserve">Since SPS is configured per serving cell and per bandwidth part, no impact of unaligned frame boundaries between </w:t>
      </w:r>
      <w:proofErr w:type="spellStart"/>
      <w:r>
        <w:t>PCell</w:t>
      </w:r>
      <w:proofErr w:type="spellEnd"/>
      <w:r>
        <w:t xml:space="preserve"> and </w:t>
      </w:r>
      <w:proofErr w:type="spellStart"/>
      <w:r>
        <w:t>SCells</w:t>
      </w:r>
      <w:proofErr w:type="spellEnd"/>
      <w:r>
        <w:t xml:space="preserve"> is expected.</w:t>
      </w:r>
    </w:p>
    <w:p w14:paraId="73BEDFEF" w14:textId="5ED51E1D" w:rsidR="00FE79BB" w:rsidRDefault="00FE79BB" w:rsidP="00FE79BB">
      <w:pPr>
        <w:pStyle w:val="Observation"/>
      </w:pPr>
      <w:bookmarkStart w:id="15" w:name="_Toc24060682"/>
      <w:r>
        <w:t>No impact expected from unaligned frame boundaries</w:t>
      </w:r>
      <w:r w:rsidR="00F45A51" w:rsidRPr="00F45A51">
        <w:t xml:space="preserve"> </w:t>
      </w:r>
      <w:r w:rsidR="00F45A51">
        <w:t>within a cell group</w:t>
      </w:r>
      <w:r>
        <w:t xml:space="preserve"> on configured grant.</w:t>
      </w:r>
      <w:bookmarkEnd w:id="15"/>
    </w:p>
    <w:p w14:paraId="0E29C279" w14:textId="3C239771" w:rsidR="00C252FF" w:rsidRDefault="00C252FF" w:rsidP="00C252FF">
      <w:pPr>
        <w:pStyle w:val="Heading3"/>
      </w:pPr>
      <w:r>
        <w:t>2.2.</w:t>
      </w:r>
      <w:r w:rsidR="0046692D">
        <w:t>3</w:t>
      </w:r>
      <w:r>
        <w:t xml:space="preserve"> DRX</w:t>
      </w:r>
    </w:p>
    <w:p w14:paraId="1F942994" w14:textId="53EDEA92" w:rsidR="00A2773C" w:rsidRDefault="00343CD6" w:rsidP="00930895">
      <w:pPr>
        <w:pStyle w:val="BodyText"/>
        <w:rPr>
          <w:rFonts w:ascii="Calibri" w:eastAsia="Calibri" w:hAnsi="Calibri"/>
          <w:sz w:val="22"/>
          <w:szCs w:val="22"/>
          <w:lang w:val="fi-FI" w:eastAsia="en-US"/>
        </w:rPr>
      </w:pPr>
      <w:r>
        <w:t xml:space="preserve">DRX is configured per MAC entity, which means </w:t>
      </w:r>
      <w:r w:rsidR="000522D8">
        <w:t xml:space="preserve">it is common for all serving cells of a cell group. Introducing a slot offset for the frame boundary per serving cell </w:t>
      </w:r>
      <w:r w:rsidR="004A6627">
        <w:t>will</w:t>
      </w:r>
      <w:r w:rsidR="000522D8">
        <w:t xml:space="preserve"> therefore affect the DRX </w:t>
      </w:r>
      <w:r w:rsidR="00C0755B">
        <w:t>operation</w:t>
      </w:r>
      <w:r w:rsidR="000522D8">
        <w:t xml:space="preserve">. </w:t>
      </w:r>
      <w:r w:rsidR="004A6627">
        <w:t xml:space="preserve">Given </w:t>
      </w:r>
      <w:r w:rsidR="00A2773C">
        <w:t>the</w:t>
      </w:r>
      <w:r w:rsidR="004A6627">
        <w:t xml:space="preserve"> RAN1 agree</w:t>
      </w:r>
      <w:r w:rsidR="00A2773C">
        <w:t>ment</w:t>
      </w:r>
      <w:r w:rsidR="004A6627">
        <w:t xml:space="preserve"> </w:t>
      </w:r>
      <w:r w:rsidR="00A2773C">
        <w:t xml:space="preserve">to </w:t>
      </w:r>
      <w:r w:rsidR="004A6627">
        <w:t>signal the frame offset per serving cell, the</w:t>
      </w:r>
      <w:r w:rsidR="00A2773C">
        <w:t>re seems to be two ways to solve the alignment of DL PDCCH transmissions with the DRX on duration:</w:t>
      </w:r>
    </w:p>
    <w:p w14:paraId="5A42D77A" w14:textId="412DAE97" w:rsidR="00FF4F2F" w:rsidRDefault="00FF4F2F" w:rsidP="00930895">
      <w:pPr>
        <w:pStyle w:val="BodyText"/>
        <w:numPr>
          <w:ilvl w:val="0"/>
          <w:numId w:val="36"/>
        </w:numPr>
        <w:rPr>
          <w:lang w:val="fi-FI"/>
        </w:rPr>
      </w:pPr>
      <w:proofErr w:type="spellStart"/>
      <w:r>
        <w:rPr>
          <w:lang w:val="fi-FI"/>
        </w:rPr>
        <w:t>The</w:t>
      </w:r>
      <w:proofErr w:type="spellEnd"/>
      <w:r>
        <w:rPr>
          <w:lang w:val="fi-FI"/>
        </w:rPr>
        <w:t xml:space="preserve"> </w:t>
      </w:r>
      <w:proofErr w:type="spellStart"/>
      <w:r>
        <w:rPr>
          <w:lang w:val="fi-FI"/>
        </w:rPr>
        <w:t>network</w:t>
      </w:r>
      <w:proofErr w:type="spellEnd"/>
      <w:r>
        <w:rPr>
          <w:lang w:val="fi-FI"/>
        </w:rPr>
        <w:t xml:space="preserve"> </w:t>
      </w:r>
      <w:proofErr w:type="spellStart"/>
      <w:r>
        <w:rPr>
          <w:lang w:val="fi-FI"/>
        </w:rPr>
        <w:t>can</w:t>
      </w:r>
      <w:proofErr w:type="spellEnd"/>
      <w:r>
        <w:rPr>
          <w:lang w:val="fi-FI"/>
        </w:rPr>
        <w:t xml:space="preserve"> </w:t>
      </w:r>
      <w:proofErr w:type="spellStart"/>
      <w:r>
        <w:rPr>
          <w:lang w:val="fi-FI"/>
        </w:rPr>
        <w:t>ensure</w:t>
      </w:r>
      <w:proofErr w:type="spellEnd"/>
      <w:r>
        <w:rPr>
          <w:lang w:val="fi-FI"/>
        </w:rPr>
        <w:t xml:space="preserve"> PDCCH </w:t>
      </w:r>
      <w:proofErr w:type="spellStart"/>
      <w:r>
        <w:rPr>
          <w:lang w:val="fi-FI"/>
        </w:rPr>
        <w:t>transmissions</w:t>
      </w:r>
      <w:proofErr w:type="spellEnd"/>
      <w:r>
        <w:rPr>
          <w:lang w:val="fi-FI"/>
        </w:rPr>
        <w:t xml:space="preserve"> </w:t>
      </w:r>
      <w:proofErr w:type="spellStart"/>
      <w:r>
        <w:rPr>
          <w:lang w:val="fi-FI"/>
        </w:rPr>
        <w:t>across</w:t>
      </w:r>
      <w:proofErr w:type="spellEnd"/>
      <w:r>
        <w:rPr>
          <w:lang w:val="fi-FI"/>
        </w:rPr>
        <w:t xml:space="preserve"> </w:t>
      </w:r>
      <w:proofErr w:type="spellStart"/>
      <w:r>
        <w:rPr>
          <w:lang w:val="fi-FI"/>
        </w:rPr>
        <w:t>serving</w:t>
      </w:r>
      <w:proofErr w:type="spellEnd"/>
      <w:r>
        <w:rPr>
          <w:lang w:val="fi-FI"/>
        </w:rPr>
        <w:t xml:space="preserve"> </w:t>
      </w:r>
      <w:proofErr w:type="spellStart"/>
      <w:r>
        <w:rPr>
          <w:lang w:val="fi-FI"/>
        </w:rPr>
        <w:t>cells</w:t>
      </w:r>
      <w:proofErr w:type="spellEnd"/>
      <w:r>
        <w:rPr>
          <w:lang w:val="fi-FI"/>
        </w:rPr>
        <w:t xml:space="preserve"> </w:t>
      </w:r>
      <w:proofErr w:type="spellStart"/>
      <w:r>
        <w:rPr>
          <w:lang w:val="fi-FI"/>
        </w:rPr>
        <w:t>are</w:t>
      </w:r>
      <w:proofErr w:type="spellEnd"/>
      <w:r>
        <w:rPr>
          <w:lang w:val="fi-FI"/>
        </w:rPr>
        <w:t xml:space="preserve"> </w:t>
      </w:r>
      <w:proofErr w:type="spellStart"/>
      <w:r>
        <w:rPr>
          <w:lang w:val="fi-FI"/>
        </w:rPr>
        <w:t>aligned</w:t>
      </w:r>
      <w:proofErr w:type="spellEnd"/>
      <w:r>
        <w:rPr>
          <w:lang w:val="fi-FI"/>
        </w:rPr>
        <w:t xml:space="preserve"> </w:t>
      </w:r>
      <w:proofErr w:type="spellStart"/>
      <w:r>
        <w:rPr>
          <w:lang w:val="fi-FI"/>
        </w:rPr>
        <w:t>with</w:t>
      </w:r>
      <w:proofErr w:type="spellEnd"/>
      <w:r>
        <w:rPr>
          <w:lang w:val="fi-FI"/>
        </w:rPr>
        <w:t xml:space="preserve"> </w:t>
      </w:r>
      <w:proofErr w:type="spellStart"/>
      <w:r>
        <w:rPr>
          <w:lang w:val="fi-FI"/>
        </w:rPr>
        <w:t>the</w:t>
      </w:r>
      <w:proofErr w:type="spellEnd"/>
      <w:r>
        <w:rPr>
          <w:lang w:val="fi-FI"/>
        </w:rPr>
        <w:t xml:space="preserve"> DRX on </w:t>
      </w:r>
      <w:proofErr w:type="spellStart"/>
      <w:r>
        <w:rPr>
          <w:lang w:val="fi-FI"/>
        </w:rPr>
        <w:t>duration</w:t>
      </w:r>
      <w:proofErr w:type="spellEnd"/>
      <w:r>
        <w:rPr>
          <w:lang w:val="fi-FI"/>
        </w:rPr>
        <w:t xml:space="preserve"> </w:t>
      </w:r>
      <w:proofErr w:type="spellStart"/>
      <w:r>
        <w:rPr>
          <w:lang w:val="fi-FI"/>
        </w:rPr>
        <w:t>by</w:t>
      </w:r>
      <w:proofErr w:type="spellEnd"/>
      <w:r>
        <w:rPr>
          <w:lang w:val="fi-FI"/>
        </w:rPr>
        <w:t xml:space="preserve"> </w:t>
      </w:r>
      <w:proofErr w:type="spellStart"/>
      <w:r>
        <w:rPr>
          <w:lang w:val="fi-FI"/>
        </w:rPr>
        <w:t>considering</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slot</w:t>
      </w:r>
      <w:proofErr w:type="spellEnd"/>
      <w:r>
        <w:rPr>
          <w:lang w:val="fi-FI"/>
        </w:rPr>
        <w:t xml:space="preserve"> offset </w:t>
      </w:r>
      <w:proofErr w:type="spellStart"/>
      <w:r>
        <w:rPr>
          <w:lang w:val="fi-FI"/>
        </w:rPr>
        <w:t>when</w:t>
      </w:r>
      <w:proofErr w:type="spellEnd"/>
      <w:r>
        <w:rPr>
          <w:lang w:val="fi-FI"/>
        </w:rPr>
        <w:t xml:space="preserve"> </w:t>
      </w:r>
      <w:proofErr w:type="spellStart"/>
      <w:r>
        <w:rPr>
          <w:lang w:val="fi-FI"/>
        </w:rPr>
        <w:t>scheduling</w:t>
      </w:r>
      <w:proofErr w:type="spellEnd"/>
      <w:r>
        <w:rPr>
          <w:lang w:val="fi-FI"/>
        </w:rPr>
        <w:t xml:space="preserve"> data on </w:t>
      </w:r>
      <w:proofErr w:type="spellStart"/>
      <w:r>
        <w:rPr>
          <w:lang w:val="fi-FI"/>
        </w:rPr>
        <w:t>each</w:t>
      </w:r>
      <w:proofErr w:type="spellEnd"/>
      <w:r>
        <w:rPr>
          <w:lang w:val="fi-FI"/>
        </w:rPr>
        <w:t xml:space="preserve"> </w:t>
      </w:r>
      <w:proofErr w:type="spellStart"/>
      <w:r>
        <w:rPr>
          <w:lang w:val="fi-FI"/>
        </w:rPr>
        <w:t>SCell</w:t>
      </w:r>
      <w:proofErr w:type="spellEnd"/>
      <w:r>
        <w:rPr>
          <w:lang w:val="fi-FI"/>
        </w:rPr>
        <w:t xml:space="preserve">. In </w:t>
      </w:r>
      <w:proofErr w:type="spellStart"/>
      <w:r>
        <w:rPr>
          <w:lang w:val="fi-FI"/>
        </w:rPr>
        <w:t>this</w:t>
      </w:r>
      <w:proofErr w:type="spellEnd"/>
      <w:r>
        <w:rPr>
          <w:lang w:val="fi-FI"/>
        </w:rPr>
        <w:t xml:space="preserve"> </w:t>
      </w:r>
      <w:proofErr w:type="spellStart"/>
      <w:r>
        <w:rPr>
          <w:lang w:val="fi-FI"/>
        </w:rPr>
        <w:t>way</w:t>
      </w:r>
      <w:proofErr w:type="spellEnd"/>
      <w:r>
        <w:rPr>
          <w:lang w:val="fi-FI"/>
        </w:rPr>
        <w:t xml:space="preserve">, </w:t>
      </w:r>
      <w:proofErr w:type="spellStart"/>
      <w:r>
        <w:rPr>
          <w:lang w:val="fi-FI"/>
        </w:rPr>
        <w:t>the</w:t>
      </w:r>
      <w:proofErr w:type="spellEnd"/>
      <w:r>
        <w:rPr>
          <w:lang w:val="fi-FI"/>
        </w:rPr>
        <w:t xml:space="preserve"> UE is </w:t>
      </w:r>
      <w:proofErr w:type="spellStart"/>
      <w:r>
        <w:rPr>
          <w:lang w:val="fi-FI"/>
        </w:rPr>
        <w:t>able</w:t>
      </w:r>
      <w:proofErr w:type="spellEnd"/>
      <w:r>
        <w:rPr>
          <w:lang w:val="fi-FI"/>
        </w:rPr>
        <w:t xml:space="preserve"> to </w:t>
      </w:r>
      <w:proofErr w:type="spellStart"/>
      <w:r>
        <w:rPr>
          <w:lang w:val="fi-FI"/>
        </w:rPr>
        <w:t>detect</w:t>
      </w:r>
      <w:proofErr w:type="spellEnd"/>
      <w:r>
        <w:rPr>
          <w:lang w:val="fi-FI"/>
        </w:rPr>
        <w:t xml:space="preserve"> </w:t>
      </w:r>
      <w:proofErr w:type="spellStart"/>
      <w:r>
        <w:rPr>
          <w:lang w:val="fi-FI"/>
        </w:rPr>
        <w:t>all</w:t>
      </w:r>
      <w:proofErr w:type="spellEnd"/>
      <w:r>
        <w:rPr>
          <w:lang w:val="fi-FI"/>
        </w:rPr>
        <w:t xml:space="preserve"> PDCCH </w:t>
      </w:r>
      <w:proofErr w:type="spellStart"/>
      <w:r>
        <w:rPr>
          <w:lang w:val="fi-FI"/>
        </w:rPr>
        <w:t>transmissions</w:t>
      </w:r>
      <w:proofErr w:type="spellEnd"/>
      <w:r>
        <w:rPr>
          <w:lang w:val="fi-FI"/>
        </w:rPr>
        <w:t xml:space="preserve"> </w:t>
      </w:r>
      <w:proofErr w:type="spellStart"/>
      <w:r>
        <w:rPr>
          <w:lang w:val="fi-FI"/>
        </w:rPr>
        <w:t>during</w:t>
      </w:r>
      <w:proofErr w:type="spellEnd"/>
      <w:r>
        <w:rPr>
          <w:lang w:val="fi-FI"/>
        </w:rPr>
        <w:t xml:space="preserve"> </w:t>
      </w:r>
      <w:proofErr w:type="spellStart"/>
      <w:r>
        <w:rPr>
          <w:lang w:val="fi-FI"/>
        </w:rPr>
        <w:t>the</w:t>
      </w:r>
      <w:proofErr w:type="spellEnd"/>
      <w:r>
        <w:rPr>
          <w:lang w:val="fi-FI"/>
        </w:rPr>
        <w:t xml:space="preserve"> DRX on </w:t>
      </w:r>
      <w:proofErr w:type="spellStart"/>
      <w:r>
        <w:rPr>
          <w:lang w:val="fi-FI"/>
        </w:rPr>
        <w:t>duration</w:t>
      </w:r>
      <w:proofErr w:type="spellEnd"/>
      <w:r>
        <w:rPr>
          <w:lang w:val="fi-FI"/>
        </w:rPr>
        <w:t xml:space="preserve"> </w:t>
      </w:r>
      <w:proofErr w:type="spellStart"/>
      <w:r>
        <w:rPr>
          <w:lang w:val="fi-FI"/>
        </w:rPr>
        <w:t>configured</w:t>
      </w:r>
      <w:proofErr w:type="spellEnd"/>
      <w:r>
        <w:rPr>
          <w:lang w:val="fi-FI"/>
        </w:rPr>
        <w:t xml:space="preserve"> in </w:t>
      </w:r>
      <w:r w:rsidRPr="00FF4F2F">
        <w:rPr>
          <w:i/>
          <w:lang w:val="fi-FI"/>
        </w:rPr>
        <w:t>DRX-</w:t>
      </w:r>
      <w:proofErr w:type="spellStart"/>
      <w:r w:rsidRPr="00FF4F2F">
        <w:rPr>
          <w:i/>
          <w:lang w:val="fi-FI"/>
        </w:rPr>
        <w:t>Config</w:t>
      </w:r>
      <w:proofErr w:type="spellEnd"/>
      <w:r>
        <w:rPr>
          <w:lang w:val="fi-FI"/>
        </w:rPr>
        <w:t>.</w:t>
      </w:r>
    </w:p>
    <w:p w14:paraId="56A0191E" w14:textId="51D29A67" w:rsidR="00F13AB2" w:rsidRPr="00F13AB2" w:rsidRDefault="00FF4F2F" w:rsidP="00930895">
      <w:pPr>
        <w:pStyle w:val="BodyText"/>
        <w:numPr>
          <w:ilvl w:val="0"/>
          <w:numId w:val="36"/>
        </w:numPr>
        <w:rPr>
          <w:lang w:val="fi-FI"/>
        </w:rPr>
      </w:pPr>
      <w:proofErr w:type="spellStart"/>
      <w:r>
        <w:rPr>
          <w:lang w:val="fi-FI"/>
        </w:rPr>
        <w:t>The</w:t>
      </w:r>
      <w:proofErr w:type="spellEnd"/>
      <w:r>
        <w:rPr>
          <w:lang w:val="fi-FI"/>
        </w:rPr>
        <w:t xml:space="preserve"> </w:t>
      </w:r>
      <w:proofErr w:type="spellStart"/>
      <w:r>
        <w:rPr>
          <w:lang w:val="fi-FI"/>
        </w:rPr>
        <w:t>network</w:t>
      </w:r>
      <w:proofErr w:type="spellEnd"/>
      <w:r>
        <w:rPr>
          <w:lang w:val="fi-FI"/>
        </w:rPr>
        <w:t xml:space="preserve"> </w:t>
      </w:r>
      <w:proofErr w:type="spellStart"/>
      <w:r>
        <w:rPr>
          <w:lang w:val="fi-FI"/>
        </w:rPr>
        <w:t>can</w:t>
      </w:r>
      <w:proofErr w:type="spellEnd"/>
      <w:r>
        <w:rPr>
          <w:lang w:val="fi-FI"/>
        </w:rPr>
        <w:t xml:space="preserve"> </w:t>
      </w:r>
      <w:proofErr w:type="spellStart"/>
      <w:r>
        <w:rPr>
          <w:lang w:val="fi-FI"/>
        </w:rPr>
        <w:t>configure</w:t>
      </w:r>
      <w:proofErr w:type="spellEnd"/>
      <w:r>
        <w:rPr>
          <w:lang w:val="fi-FI"/>
        </w:rPr>
        <w:t xml:space="preserve"> </w:t>
      </w:r>
      <w:r w:rsidR="00A6206E">
        <w:rPr>
          <w:lang w:val="fi-FI"/>
        </w:rPr>
        <w:t xml:space="preserve">a </w:t>
      </w:r>
      <w:proofErr w:type="spellStart"/>
      <w:r w:rsidR="00A6206E">
        <w:rPr>
          <w:lang w:val="fi-FI"/>
        </w:rPr>
        <w:t>longer</w:t>
      </w:r>
      <w:proofErr w:type="spellEnd"/>
      <w:r w:rsidR="00A6206E">
        <w:rPr>
          <w:lang w:val="fi-FI"/>
        </w:rPr>
        <w:t xml:space="preserve"> DRX on </w:t>
      </w:r>
      <w:proofErr w:type="spellStart"/>
      <w:r w:rsidR="00A6206E">
        <w:rPr>
          <w:lang w:val="fi-FI"/>
        </w:rPr>
        <w:t>duration</w:t>
      </w:r>
      <w:proofErr w:type="spellEnd"/>
      <w:r w:rsidR="00A6206E">
        <w:rPr>
          <w:lang w:val="fi-FI"/>
        </w:rPr>
        <w:t xml:space="preserve"> </w:t>
      </w:r>
      <w:proofErr w:type="spellStart"/>
      <w:r w:rsidR="00A6206E">
        <w:rPr>
          <w:lang w:val="fi-FI"/>
        </w:rPr>
        <w:t>such</w:t>
      </w:r>
      <w:proofErr w:type="spellEnd"/>
      <w:r w:rsidR="00A6206E">
        <w:rPr>
          <w:lang w:val="fi-FI"/>
        </w:rPr>
        <w:t xml:space="preserve"> </w:t>
      </w:r>
      <w:proofErr w:type="spellStart"/>
      <w:r w:rsidR="00A6206E">
        <w:rPr>
          <w:lang w:val="fi-FI"/>
        </w:rPr>
        <w:t>that</w:t>
      </w:r>
      <w:proofErr w:type="spellEnd"/>
      <w:r w:rsidR="00A6206E">
        <w:rPr>
          <w:lang w:val="fi-FI"/>
        </w:rPr>
        <w:t xml:space="preserve"> PDCCH </w:t>
      </w:r>
      <w:proofErr w:type="spellStart"/>
      <w:r w:rsidR="00A6206E">
        <w:rPr>
          <w:lang w:val="fi-FI"/>
        </w:rPr>
        <w:t>transmissions</w:t>
      </w:r>
      <w:proofErr w:type="spellEnd"/>
      <w:r w:rsidR="00A6206E">
        <w:rPr>
          <w:lang w:val="fi-FI"/>
        </w:rPr>
        <w:t xml:space="preserve"> of </w:t>
      </w:r>
      <w:proofErr w:type="spellStart"/>
      <w:r w:rsidR="00A6206E">
        <w:rPr>
          <w:lang w:val="fi-FI"/>
        </w:rPr>
        <w:t>serving</w:t>
      </w:r>
      <w:proofErr w:type="spellEnd"/>
      <w:r w:rsidR="00A6206E">
        <w:rPr>
          <w:lang w:val="fi-FI"/>
        </w:rPr>
        <w:t xml:space="preserve"> </w:t>
      </w:r>
      <w:proofErr w:type="spellStart"/>
      <w:r w:rsidR="00A6206E">
        <w:rPr>
          <w:lang w:val="fi-FI"/>
        </w:rPr>
        <w:t>cells</w:t>
      </w:r>
      <w:proofErr w:type="spellEnd"/>
      <w:r w:rsidR="00A6206E">
        <w:rPr>
          <w:lang w:val="fi-FI"/>
        </w:rPr>
        <w:t xml:space="preserve"> </w:t>
      </w:r>
      <w:proofErr w:type="spellStart"/>
      <w:r w:rsidR="00A6206E">
        <w:rPr>
          <w:lang w:val="fi-FI"/>
        </w:rPr>
        <w:t>fit</w:t>
      </w:r>
      <w:proofErr w:type="spellEnd"/>
      <w:r w:rsidR="00A6206E">
        <w:rPr>
          <w:lang w:val="fi-FI"/>
        </w:rPr>
        <w:t xml:space="preserve"> into </w:t>
      </w:r>
      <w:proofErr w:type="spellStart"/>
      <w:r w:rsidR="00A6206E">
        <w:rPr>
          <w:lang w:val="fi-FI"/>
        </w:rPr>
        <w:t>the</w:t>
      </w:r>
      <w:proofErr w:type="spellEnd"/>
      <w:r w:rsidR="00A6206E">
        <w:rPr>
          <w:lang w:val="fi-FI"/>
        </w:rPr>
        <w:t xml:space="preserve"> DRX on </w:t>
      </w:r>
      <w:proofErr w:type="spellStart"/>
      <w:r w:rsidR="00A6206E">
        <w:rPr>
          <w:lang w:val="fi-FI"/>
        </w:rPr>
        <w:t>duration</w:t>
      </w:r>
      <w:proofErr w:type="spellEnd"/>
      <w:r w:rsidR="00A6206E">
        <w:rPr>
          <w:lang w:val="fi-FI"/>
        </w:rPr>
        <w:t xml:space="preserve">, </w:t>
      </w:r>
      <w:proofErr w:type="spellStart"/>
      <w:r w:rsidR="00A6206E">
        <w:rPr>
          <w:lang w:val="fi-FI"/>
        </w:rPr>
        <w:t>even</w:t>
      </w:r>
      <w:proofErr w:type="spellEnd"/>
      <w:r w:rsidR="00A6206E">
        <w:rPr>
          <w:lang w:val="fi-FI"/>
        </w:rPr>
        <w:t xml:space="preserve"> </w:t>
      </w:r>
      <w:proofErr w:type="spellStart"/>
      <w:r w:rsidR="00A6206E">
        <w:rPr>
          <w:lang w:val="fi-FI"/>
        </w:rPr>
        <w:t>without</w:t>
      </w:r>
      <w:proofErr w:type="spellEnd"/>
      <w:r w:rsidR="00A6206E">
        <w:rPr>
          <w:lang w:val="fi-FI"/>
        </w:rPr>
        <w:t xml:space="preserve"> </w:t>
      </w:r>
      <w:proofErr w:type="spellStart"/>
      <w:r w:rsidR="00A6206E">
        <w:rPr>
          <w:lang w:val="fi-FI"/>
        </w:rPr>
        <w:t>considering</w:t>
      </w:r>
      <w:proofErr w:type="spellEnd"/>
      <w:r w:rsidR="00A6206E">
        <w:rPr>
          <w:lang w:val="fi-FI"/>
        </w:rPr>
        <w:t xml:space="preserve"> </w:t>
      </w:r>
      <w:proofErr w:type="spellStart"/>
      <w:r w:rsidR="00A6206E">
        <w:rPr>
          <w:lang w:val="fi-FI"/>
        </w:rPr>
        <w:t>the</w:t>
      </w:r>
      <w:proofErr w:type="spellEnd"/>
      <w:r w:rsidR="00A6206E">
        <w:rPr>
          <w:lang w:val="fi-FI"/>
        </w:rPr>
        <w:t xml:space="preserve"> </w:t>
      </w:r>
      <w:proofErr w:type="spellStart"/>
      <w:r w:rsidR="00A6206E">
        <w:rPr>
          <w:lang w:val="fi-FI"/>
        </w:rPr>
        <w:t>frame</w:t>
      </w:r>
      <w:proofErr w:type="spellEnd"/>
      <w:r w:rsidR="00A6206E">
        <w:rPr>
          <w:lang w:val="fi-FI"/>
        </w:rPr>
        <w:t xml:space="preserve"> </w:t>
      </w:r>
      <w:proofErr w:type="spellStart"/>
      <w:r w:rsidR="00A6206E">
        <w:rPr>
          <w:lang w:val="fi-FI"/>
        </w:rPr>
        <w:t>boundary</w:t>
      </w:r>
      <w:proofErr w:type="spellEnd"/>
      <w:r w:rsidR="00A6206E">
        <w:rPr>
          <w:lang w:val="fi-FI"/>
        </w:rPr>
        <w:t xml:space="preserve"> </w:t>
      </w:r>
      <w:proofErr w:type="spellStart"/>
      <w:r w:rsidR="00A6206E">
        <w:rPr>
          <w:lang w:val="fi-FI"/>
        </w:rPr>
        <w:t>slot</w:t>
      </w:r>
      <w:proofErr w:type="spellEnd"/>
      <w:r w:rsidR="00A6206E">
        <w:rPr>
          <w:lang w:val="fi-FI"/>
        </w:rPr>
        <w:t xml:space="preserve"> offset </w:t>
      </w:r>
      <w:proofErr w:type="spellStart"/>
      <w:r w:rsidR="00A6206E">
        <w:rPr>
          <w:lang w:val="fi-FI"/>
        </w:rPr>
        <w:t>when</w:t>
      </w:r>
      <w:proofErr w:type="spellEnd"/>
      <w:r w:rsidR="00A6206E">
        <w:rPr>
          <w:lang w:val="fi-FI"/>
        </w:rPr>
        <w:t xml:space="preserve"> </w:t>
      </w:r>
      <w:proofErr w:type="spellStart"/>
      <w:r w:rsidR="00A6206E">
        <w:rPr>
          <w:lang w:val="fi-FI"/>
        </w:rPr>
        <w:t>scheduling</w:t>
      </w:r>
      <w:proofErr w:type="spellEnd"/>
      <w:r w:rsidR="00A6206E">
        <w:rPr>
          <w:lang w:val="fi-FI"/>
        </w:rPr>
        <w:t xml:space="preserve"> PDCCH. </w:t>
      </w:r>
      <w:r w:rsidR="00F13AB2">
        <w:rPr>
          <w:lang w:val="fi-FI"/>
        </w:rPr>
        <w:t xml:space="preserve">How </w:t>
      </w:r>
      <w:proofErr w:type="spellStart"/>
      <w:r w:rsidR="00F13AB2">
        <w:rPr>
          <w:lang w:val="fi-FI"/>
        </w:rPr>
        <w:t>much</w:t>
      </w:r>
      <w:proofErr w:type="spellEnd"/>
      <w:r w:rsidR="00F13AB2">
        <w:rPr>
          <w:lang w:val="fi-FI"/>
        </w:rPr>
        <w:t xml:space="preserve"> </w:t>
      </w:r>
      <w:proofErr w:type="spellStart"/>
      <w:r w:rsidR="00F13AB2">
        <w:rPr>
          <w:lang w:val="fi-FI"/>
        </w:rPr>
        <w:t>the</w:t>
      </w:r>
      <w:proofErr w:type="spellEnd"/>
      <w:r w:rsidR="00F13AB2">
        <w:rPr>
          <w:lang w:val="fi-FI"/>
        </w:rPr>
        <w:t xml:space="preserve"> on </w:t>
      </w:r>
      <w:proofErr w:type="spellStart"/>
      <w:r w:rsidR="00F13AB2">
        <w:rPr>
          <w:lang w:val="fi-FI"/>
        </w:rPr>
        <w:t>duration</w:t>
      </w:r>
      <w:proofErr w:type="spellEnd"/>
      <w:r w:rsidR="00F13AB2">
        <w:rPr>
          <w:lang w:val="fi-FI"/>
        </w:rPr>
        <w:t xml:space="preserve"> </w:t>
      </w:r>
      <w:proofErr w:type="spellStart"/>
      <w:r w:rsidR="00F13AB2">
        <w:rPr>
          <w:lang w:val="fi-FI"/>
        </w:rPr>
        <w:t>needs</w:t>
      </w:r>
      <w:proofErr w:type="spellEnd"/>
      <w:r w:rsidR="00F13AB2">
        <w:rPr>
          <w:lang w:val="fi-FI"/>
        </w:rPr>
        <w:t xml:space="preserve"> to </w:t>
      </w:r>
      <w:proofErr w:type="spellStart"/>
      <w:r w:rsidR="00F13AB2">
        <w:rPr>
          <w:lang w:val="fi-FI"/>
        </w:rPr>
        <w:t>be</w:t>
      </w:r>
      <w:proofErr w:type="spellEnd"/>
      <w:r w:rsidR="00F13AB2">
        <w:rPr>
          <w:lang w:val="fi-FI"/>
        </w:rPr>
        <w:t xml:space="preserve"> </w:t>
      </w:r>
      <w:proofErr w:type="spellStart"/>
      <w:r w:rsidR="00F13AB2">
        <w:rPr>
          <w:lang w:val="fi-FI"/>
        </w:rPr>
        <w:t>increased</w:t>
      </w:r>
      <w:proofErr w:type="spellEnd"/>
      <w:r w:rsidR="00F13AB2">
        <w:rPr>
          <w:lang w:val="fi-FI"/>
        </w:rPr>
        <w:t xml:space="preserve"> </w:t>
      </w:r>
      <w:proofErr w:type="spellStart"/>
      <w:r w:rsidR="00F13AB2">
        <w:rPr>
          <w:lang w:val="fi-FI"/>
        </w:rPr>
        <w:t>will</w:t>
      </w:r>
      <w:proofErr w:type="spellEnd"/>
      <w:r w:rsidR="00F13AB2">
        <w:rPr>
          <w:lang w:val="fi-FI"/>
        </w:rPr>
        <w:t xml:space="preserve"> </w:t>
      </w:r>
      <w:proofErr w:type="spellStart"/>
      <w:r w:rsidR="00F13AB2">
        <w:rPr>
          <w:lang w:val="fi-FI"/>
        </w:rPr>
        <w:t>depend</w:t>
      </w:r>
      <w:proofErr w:type="spellEnd"/>
      <w:r w:rsidR="00F13AB2">
        <w:rPr>
          <w:lang w:val="fi-FI"/>
        </w:rPr>
        <w:t xml:space="preserve"> on </w:t>
      </w:r>
      <w:proofErr w:type="spellStart"/>
      <w:r w:rsidR="00F13AB2">
        <w:rPr>
          <w:lang w:val="fi-FI"/>
        </w:rPr>
        <w:t>amount</w:t>
      </w:r>
      <w:proofErr w:type="spellEnd"/>
      <w:r w:rsidR="00F13AB2">
        <w:rPr>
          <w:lang w:val="fi-FI"/>
        </w:rPr>
        <w:t xml:space="preserve"> of offset </w:t>
      </w:r>
      <w:proofErr w:type="spellStart"/>
      <w:r w:rsidR="00F13AB2">
        <w:rPr>
          <w:lang w:val="fi-FI"/>
        </w:rPr>
        <w:t>between</w:t>
      </w:r>
      <w:proofErr w:type="spellEnd"/>
      <w:r w:rsidR="00F13AB2">
        <w:rPr>
          <w:lang w:val="fi-FI"/>
        </w:rPr>
        <w:t xml:space="preserve"> </w:t>
      </w:r>
      <w:proofErr w:type="spellStart"/>
      <w:r w:rsidR="00F13AB2">
        <w:rPr>
          <w:lang w:val="fi-FI"/>
        </w:rPr>
        <w:t>serving</w:t>
      </w:r>
      <w:proofErr w:type="spellEnd"/>
      <w:r w:rsidR="00F13AB2">
        <w:rPr>
          <w:lang w:val="fi-FI"/>
        </w:rPr>
        <w:t xml:space="preserve"> </w:t>
      </w:r>
      <w:proofErr w:type="spellStart"/>
      <w:r w:rsidR="00F13AB2">
        <w:rPr>
          <w:lang w:val="fi-FI"/>
        </w:rPr>
        <w:t>cells</w:t>
      </w:r>
      <w:proofErr w:type="spellEnd"/>
      <w:r w:rsidR="00F13AB2">
        <w:rPr>
          <w:lang w:val="fi-FI"/>
        </w:rPr>
        <w:t xml:space="preserve"> in </w:t>
      </w:r>
      <w:proofErr w:type="spellStart"/>
      <w:r w:rsidR="00F13AB2">
        <w:rPr>
          <w:lang w:val="fi-FI"/>
        </w:rPr>
        <w:t>number</w:t>
      </w:r>
      <w:proofErr w:type="spellEnd"/>
      <w:r w:rsidR="00F13AB2">
        <w:rPr>
          <w:lang w:val="fi-FI"/>
        </w:rPr>
        <w:t xml:space="preserve"> of </w:t>
      </w:r>
      <w:proofErr w:type="spellStart"/>
      <w:r w:rsidR="00F13AB2">
        <w:rPr>
          <w:lang w:val="fi-FI"/>
        </w:rPr>
        <w:t>slots</w:t>
      </w:r>
      <w:proofErr w:type="spellEnd"/>
      <w:r w:rsidR="00F13AB2">
        <w:rPr>
          <w:lang w:val="fi-FI"/>
        </w:rPr>
        <w:t xml:space="preserve">. </w:t>
      </w:r>
      <w:proofErr w:type="spellStart"/>
      <w:r w:rsidR="00F13AB2" w:rsidRPr="00F13AB2">
        <w:rPr>
          <w:lang w:val="fi-FI"/>
        </w:rPr>
        <w:t>Current</w:t>
      </w:r>
      <w:proofErr w:type="spellEnd"/>
      <w:r w:rsidR="00F13AB2" w:rsidRPr="00F13AB2">
        <w:rPr>
          <w:lang w:val="fi-FI"/>
        </w:rPr>
        <w:t xml:space="preserve"> </w:t>
      </w:r>
      <w:proofErr w:type="spellStart"/>
      <w:r w:rsidR="00F13AB2" w:rsidRPr="00F13AB2">
        <w:rPr>
          <w:i/>
          <w:lang w:val="fi-FI"/>
        </w:rPr>
        <w:t>drx-onDurationTimer</w:t>
      </w:r>
      <w:proofErr w:type="spellEnd"/>
      <w:r w:rsidR="00F13AB2" w:rsidRPr="00F13AB2">
        <w:rPr>
          <w:lang w:val="fi-FI"/>
        </w:rPr>
        <w:t xml:space="preserve"> </w:t>
      </w:r>
      <w:proofErr w:type="spellStart"/>
      <w:r w:rsidR="00F13AB2">
        <w:rPr>
          <w:lang w:val="fi-FI"/>
        </w:rPr>
        <w:t>values</w:t>
      </w:r>
      <w:proofErr w:type="spellEnd"/>
      <w:r w:rsidR="00F13AB2">
        <w:rPr>
          <w:lang w:val="fi-FI"/>
        </w:rPr>
        <w:t xml:space="preserve"> </w:t>
      </w:r>
      <w:proofErr w:type="spellStart"/>
      <w:r w:rsidR="00F13AB2" w:rsidRPr="00F13AB2">
        <w:rPr>
          <w:lang w:val="fi-FI"/>
        </w:rPr>
        <w:t>range</w:t>
      </w:r>
      <w:proofErr w:type="spellEnd"/>
      <w:r w:rsidR="00F13AB2" w:rsidRPr="00F13AB2">
        <w:rPr>
          <w:lang w:val="fi-FI"/>
        </w:rPr>
        <w:t xml:space="preserve"> </w:t>
      </w:r>
      <w:proofErr w:type="spellStart"/>
      <w:r w:rsidR="00F13AB2" w:rsidRPr="00F13AB2">
        <w:rPr>
          <w:lang w:val="fi-FI"/>
        </w:rPr>
        <w:t>from</w:t>
      </w:r>
      <w:proofErr w:type="spellEnd"/>
      <w:r w:rsidR="00F13AB2" w:rsidRPr="00F13AB2">
        <w:rPr>
          <w:lang w:val="fi-FI"/>
        </w:rPr>
        <w:t xml:space="preserve"> 1/32ms to 1600ms, </w:t>
      </w:r>
      <w:proofErr w:type="spellStart"/>
      <w:r w:rsidR="00F13AB2" w:rsidRPr="00F13AB2">
        <w:rPr>
          <w:lang w:val="fi-FI"/>
        </w:rPr>
        <w:t>with</w:t>
      </w:r>
      <w:proofErr w:type="spellEnd"/>
      <w:r w:rsidR="00F13AB2" w:rsidRPr="00F13AB2">
        <w:rPr>
          <w:lang w:val="fi-FI"/>
        </w:rPr>
        <w:t xml:space="preserve"> 1/32ms </w:t>
      </w:r>
      <w:proofErr w:type="spellStart"/>
      <w:r w:rsidR="00F13AB2" w:rsidRPr="00F13AB2">
        <w:rPr>
          <w:lang w:val="fi-FI"/>
        </w:rPr>
        <w:t>granularity</w:t>
      </w:r>
      <w:proofErr w:type="spellEnd"/>
      <w:r w:rsidR="00F13AB2" w:rsidRPr="00F13AB2">
        <w:rPr>
          <w:lang w:val="fi-FI"/>
        </w:rPr>
        <w:t xml:space="preserve"> for </w:t>
      </w:r>
      <w:proofErr w:type="spellStart"/>
      <w:r w:rsidR="00F13AB2" w:rsidRPr="00F13AB2">
        <w:rPr>
          <w:lang w:val="fi-FI"/>
        </w:rPr>
        <w:t>sub</w:t>
      </w:r>
      <w:proofErr w:type="spellEnd"/>
      <w:r w:rsidR="00F13AB2" w:rsidRPr="00F13AB2">
        <w:rPr>
          <w:lang w:val="fi-FI"/>
        </w:rPr>
        <w:t xml:space="preserve"> ms </w:t>
      </w:r>
      <w:proofErr w:type="spellStart"/>
      <w:r w:rsidR="00F13AB2" w:rsidRPr="00F13AB2">
        <w:rPr>
          <w:lang w:val="fi-FI"/>
        </w:rPr>
        <w:t>durations</w:t>
      </w:r>
      <w:proofErr w:type="spellEnd"/>
      <w:r w:rsidR="00F13AB2">
        <w:rPr>
          <w:lang w:val="fi-FI"/>
        </w:rPr>
        <w:t xml:space="preserve">, </w:t>
      </w:r>
      <w:proofErr w:type="spellStart"/>
      <w:r w:rsidR="00F13AB2">
        <w:rPr>
          <w:lang w:val="fi-FI"/>
        </w:rPr>
        <w:t>see</w:t>
      </w:r>
      <w:proofErr w:type="spellEnd"/>
      <w:r w:rsidR="00F13AB2">
        <w:rPr>
          <w:lang w:val="fi-FI"/>
        </w:rPr>
        <w:t xml:space="preserve"> </w:t>
      </w:r>
      <w:proofErr w:type="spellStart"/>
      <w:r w:rsidR="00F13AB2">
        <w:rPr>
          <w:lang w:val="fi-FI"/>
        </w:rPr>
        <w:t>below</w:t>
      </w:r>
      <w:proofErr w:type="spellEnd"/>
      <w:r w:rsidR="00F13AB2" w:rsidRPr="00F13AB2">
        <w:rPr>
          <w:lang w:val="fi-FI"/>
        </w:rPr>
        <w:t xml:space="preserve">. </w:t>
      </w:r>
      <w:proofErr w:type="spellStart"/>
      <w:r w:rsidR="00F13AB2" w:rsidRPr="00F13AB2">
        <w:rPr>
          <w:lang w:val="fi-FI"/>
        </w:rPr>
        <w:t>This</w:t>
      </w:r>
      <w:proofErr w:type="spellEnd"/>
      <w:r w:rsidR="00F13AB2" w:rsidRPr="00F13AB2">
        <w:rPr>
          <w:lang w:val="fi-FI"/>
        </w:rPr>
        <w:t xml:space="preserve"> is </w:t>
      </w:r>
      <w:proofErr w:type="spellStart"/>
      <w:r w:rsidR="00F13AB2" w:rsidRPr="00F13AB2">
        <w:rPr>
          <w:lang w:val="fi-FI"/>
        </w:rPr>
        <w:t>considered</w:t>
      </w:r>
      <w:proofErr w:type="spellEnd"/>
      <w:r w:rsidR="00F13AB2" w:rsidRPr="00F13AB2">
        <w:rPr>
          <w:lang w:val="fi-FI"/>
        </w:rPr>
        <w:t xml:space="preserve"> </w:t>
      </w:r>
      <w:proofErr w:type="spellStart"/>
      <w:r w:rsidR="00F13AB2" w:rsidRPr="00F13AB2">
        <w:rPr>
          <w:lang w:val="fi-FI"/>
        </w:rPr>
        <w:t>sufficient</w:t>
      </w:r>
      <w:proofErr w:type="spellEnd"/>
      <w:r w:rsidR="00F13AB2" w:rsidRPr="00F13AB2">
        <w:rPr>
          <w:lang w:val="fi-FI"/>
        </w:rPr>
        <w:t xml:space="preserve"> to </w:t>
      </w:r>
      <w:proofErr w:type="spellStart"/>
      <w:r w:rsidR="00F13AB2" w:rsidRPr="00F13AB2">
        <w:rPr>
          <w:lang w:val="fi-FI"/>
        </w:rPr>
        <w:t>cover</w:t>
      </w:r>
      <w:proofErr w:type="spellEnd"/>
      <w:r w:rsidR="00F13AB2" w:rsidRPr="00F13AB2">
        <w:rPr>
          <w:lang w:val="fi-FI"/>
        </w:rPr>
        <w:t xml:space="preserve"> </w:t>
      </w:r>
      <w:proofErr w:type="spellStart"/>
      <w:r w:rsidR="00F13AB2" w:rsidRPr="00F13AB2">
        <w:rPr>
          <w:lang w:val="fi-FI"/>
        </w:rPr>
        <w:t>also</w:t>
      </w:r>
      <w:proofErr w:type="spellEnd"/>
      <w:r w:rsidR="00F13AB2" w:rsidRPr="00F13AB2">
        <w:rPr>
          <w:lang w:val="fi-FI"/>
        </w:rPr>
        <w:t xml:space="preserve"> </w:t>
      </w:r>
      <w:proofErr w:type="spellStart"/>
      <w:r w:rsidR="00F13AB2" w:rsidRPr="00F13AB2">
        <w:rPr>
          <w:lang w:val="fi-FI"/>
        </w:rPr>
        <w:t>configurations</w:t>
      </w:r>
      <w:proofErr w:type="spellEnd"/>
      <w:r w:rsidR="00F13AB2" w:rsidRPr="00F13AB2">
        <w:rPr>
          <w:lang w:val="fi-FI"/>
        </w:rPr>
        <w:t xml:space="preserve"> </w:t>
      </w:r>
      <w:proofErr w:type="spellStart"/>
      <w:r w:rsidR="00F13AB2" w:rsidRPr="00F13AB2">
        <w:rPr>
          <w:lang w:val="fi-FI"/>
        </w:rPr>
        <w:t>with</w:t>
      </w:r>
      <w:proofErr w:type="spellEnd"/>
      <w:r w:rsidR="00F13AB2" w:rsidRPr="00F13AB2">
        <w:rPr>
          <w:lang w:val="fi-FI"/>
        </w:rPr>
        <w:t xml:space="preserve"> </w:t>
      </w:r>
      <w:proofErr w:type="spellStart"/>
      <w:r w:rsidR="00F13AB2" w:rsidRPr="00F13AB2">
        <w:rPr>
          <w:lang w:val="fi-FI"/>
        </w:rPr>
        <w:t>unaligned</w:t>
      </w:r>
      <w:proofErr w:type="spellEnd"/>
      <w:r w:rsidR="00F13AB2" w:rsidRPr="00F13AB2">
        <w:rPr>
          <w:lang w:val="fi-FI"/>
        </w:rPr>
        <w:t xml:space="preserve"> </w:t>
      </w:r>
      <w:proofErr w:type="spellStart"/>
      <w:r w:rsidR="00F13AB2" w:rsidRPr="00F13AB2">
        <w:rPr>
          <w:lang w:val="fi-FI"/>
        </w:rPr>
        <w:t>frame</w:t>
      </w:r>
      <w:proofErr w:type="spellEnd"/>
      <w:r w:rsidR="00F13AB2" w:rsidRPr="00F13AB2">
        <w:rPr>
          <w:lang w:val="fi-FI"/>
        </w:rPr>
        <w:t xml:space="preserve"> </w:t>
      </w:r>
      <w:proofErr w:type="spellStart"/>
      <w:r w:rsidR="00F13AB2" w:rsidRPr="00F13AB2">
        <w:rPr>
          <w:lang w:val="fi-FI"/>
        </w:rPr>
        <w:t>boundaries</w:t>
      </w:r>
      <w:proofErr w:type="spellEnd"/>
      <w:r w:rsidR="00F13AB2">
        <w:rPr>
          <w:lang w:val="fi-FI"/>
        </w:rPr>
        <w:t>.</w:t>
      </w:r>
    </w:p>
    <w:p w14:paraId="6E3C5213" w14:textId="77777777" w:rsidR="00FF4F2F" w:rsidRPr="0096519C" w:rsidRDefault="00FF4F2F" w:rsidP="00FF4F2F">
      <w:pPr>
        <w:pStyle w:val="PL"/>
      </w:pPr>
      <w:r w:rsidRPr="0096519C">
        <w:t xml:space="preserve">    drx-onDurationTimer                 </w:t>
      </w:r>
      <w:r w:rsidRPr="0096519C">
        <w:rPr>
          <w:color w:val="993366"/>
        </w:rPr>
        <w:t>CHOICE</w:t>
      </w:r>
      <w:r w:rsidRPr="0096519C">
        <w:t xml:space="preserve"> {</w:t>
      </w:r>
    </w:p>
    <w:p w14:paraId="1B25964B" w14:textId="77777777" w:rsidR="00FF4F2F" w:rsidRPr="0096519C" w:rsidRDefault="00FF4F2F" w:rsidP="00FF4F2F">
      <w:pPr>
        <w:pStyle w:val="PL"/>
      </w:pPr>
      <w:r w:rsidRPr="0096519C">
        <w:t xml:space="preserve">                                            subMilliSeconds </w:t>
      </w:r>
      <w:r w:rsidRPr="0096519C">
        <w:rPr>
          <w:color w:val="993366"/>
        </w:rPr>
        <w:t>INTEGER</w:t>
      </w:r>
      <w:r w:rsidRPr="0096519C">
        <w:t xml:space="preserve"> (1..31),</w:t>
      </w:r>
    </w:p>
    <w:p w14:paraId="0C038A99" w14:textId="77777777" w:rsidR="00FF4F2F" w:rsidRPr="0096519C" w:rsidRDefault="00FF4F2F" w:rsidP="00FF4F2F">
      <w:pPr>
        <w:pStyle w:val="PL"/>
      </w:pPr>
      <w:r w:rsidRPr="0096519C">
        <w:t xml:space="preserve">                                            milliSeconds    </w:t>
      </w:r>
      <w:r w:rsidRPr="0096519C">
        <w:rPr>
          <w:color w:val="993366"/>
        </w:rPr>
        <w:t>ENUMERATED</w:t>
      </w:r>
      <w:r w:rsidRPr="0096519C">
        <w:t xml:space="preserve"> {</w:t>
      </w:r>
    </w:p>
    <w:p w14:paraId="7EE8D0C4" w14:textId="77777777" w:rsidR="00FF4F2F" w:rsidRPr="0096519C" w:rsidRDefault="00FF4F2F" w:rsidP="00FF4F2F">
      <w:pPr>
        <w:pStyle w:val="PL"/>
      </w:pPr>
      <w:r w:rsidRPr="0096519C">
        <w:t xml:space="preserve">                                                ms1, ms2, ms3, ms4, ms5, ms6, ms8, ms10, ms20, ms30, ms40, ms50, ms60,</w:t>
      </w:r>
    </w:p>
    <w:p w14:paraId="449DF074" w14:textId="77777777" w:rsidR="00FF4F2F" w:rsidRPr="0096519C" w:rsidRDefault="00FF4F2F" w:rsidP="00FF4F2F">
      <w:pPr>
        <w:pStyle w:val="PL"/>
      </w:pPr>
      <w:r w:rsidRPr="0096519C">
        <w:t xml:space="preserve">                                                ms80, ms100, ms200, ms300, ms400, ms500, ms600, ms800, ms1000, ms1200,</w:t>
      </w:r>
    </w:p>
    <w:p w14:paraId="7A1E78B7" w14:textId="77777777" w:rsidR="00FF4F2F" w:rsidRPr="00B664F1" w:rsidRDefault="00FF4F2F" w:rsidP="00FF4F2F">
      <w:pPr>
        <w:pStyle w:val="PL"/>
        <w:rPr>
          <w:lang w:val="sv-SE"/>
        </w:rPr>
      </w:pPr>
      <w:r w:rsidRPr="0096519C">
        <w:t xml:space="preserve">                                                </w:t>
      </w:r>
      <w:r w:rsidRPr="00B664F1">
        <w:rPr>
          <w:lang w:val="sv-SE"/>
        </w:rPr>
        <w:t>ms1600, spare8, spare7, spare6, spare5, spare4, spare3, spare2, spare1 }</w:t>
      </w:r>
    </w:p>
    <w:p w14:paraId="7E09F7DE" w14:textId="77777777" w:rsidR="00FF4F2F" w:rsidRPr="00606706" w:rsidRDefault="00FF4F2F" w:rsidP="00FF4F2F">
      <w:pPr>
        <w:pStyle w:val="PL"/>
      </w:pPr>
      <w:r w:rsidRPr="00B664F1">
        <w:rPr>
          <w:lang w:val="sv-SE"/>
        </w:rPr>
        <w:t xml:space="preserve">                                            </w:t>
      </w:r>
      <w:r w:rsidRPr="00606706">
        <w:t>},</w:t>
      </w:r>
    </w:p>
    <w:p w14:paraId="0B0E3A94" w14:textId="77777777" w:rsidR="00A2773C" w:rsidRPr="00FF4F2F" w:rsidRDefault="00A2773C" w:rsidP="00FF4F2F">
      <w:pPr>
        <w:rPr>
          <w:lang w:val="fi-FI"/>
        </w:rPr>
      </w:pPr>
    </w:p>
    <w:p w14:paraId="19E447F0" w14:textId="4D284B34" w:rsidR="00A2773C" w:rsidRDefault="00FF4F2F" w:rsidP="00930895">
      <w:pPr>
        <w:pStyle w:val="BodyText"/>
        <w:rPr>
          <w:rFonts w:eastAsia="Calibri"/>
          <w:lang w:val="fi-FI"/>
        </w:rPr>
      </w:pPr>
      <w:proofErr w:type="spellStart"/>
      <w:r>
        <w:rPr>
          <w:rFonts w:eastAsia="Calibri"/>
          <w:lang w:val="fi-FI"/>
        </w:rPr>
        <w:t>Either</w:t>
      </w:r>
      <w:proofErr w:type="spellEnd"/>
      <w:r>
        <w:rPr>
          <w:rFonts w:eastAsia="Calibri"/>
          <w:lang w:val="fi-FI"/>
        </w:rPr>
        <w:t xml:space="preserve"> </w:t>
      </w:r>
      <w:proofErr w:type="spellStart"/>
      <w:r>
        <w:rPr>
          <w:rFonts w:eastAsia="Calibri"/>
          <w:lang w:val="fi-FI"/>
        </w:rPr>
        <w:t>way</w:t>
      </w:r>
      <w:proofErr w:type="spellEnd"/>
      <w:r>
        <w:rPr>
          <w:rFonts w:eastAsia="Calibri"/>
          <w:lang w:val="fi-FI"/>
        </w:rPr>
        <w:t xml:space="preserve">, </w:t>
      </w:r>
      <w:proofErr w:type="spellStart"/>
      <w:r>
        <w:rPr>
          <w:rFonts w:eastAsia="Calibri"/>
          <w:lang w:val="fi-FI"/>
        </w:rPr>
        <w:t>the</w:t>
      </w:r>
      <w:proofErr w:type="spellEnd"/>
      <w:r>
        <w:rPr>
          <w:rFonts w:eastAsia="Calibri"/>
          <w:lang w:val="fi-FI"/>
        </w:rPr>
        <w:t xml:space="preserve"> DRX </w:t>
      </w:r>
      <w:proofErr w:type="spellStart"/>
      <w:r>
        <w:rPr>
          <w:rFonts w:eastAsia="Calibri"/>
          <w:lang w:val="fi-FI"/>
        </w:rPr>
        <w:t>handling</w:t>
      </w:r>
      <w:proofErr w:type="spellEnd"/>
      <w:r>
        <w:rPr>
          <w:rFonts w:eastAsia="Calibri"/>
          <w:lang w:val="fi-FI"/>
        </w:rPr>
        <w:t xml:space="preserve"> </w:t>
      </w:r>
      <w:proofErr w:type="spellStart"/>
      <w:r>
        <w:rPr>
          <w:rFonts w:eastAsia="Calibri"/>
          <w:lang w:val="fi-FI"/>
        </w:rPr>
        <w:t>with</w:t>
      </w:r>
      <w:proofErr w:type="spellEnd"/>
      <w:r>
        <w:rPr>
          <w:rFonts w:eastAsia="Calibri"/>
          <w:lang w:val="fi-FI"/>
        </w:rPr>
        <w:t xml:space="preserve"> </w:t>
      </w:r>
      <w:proofErr w:type="spellStart"/>
      <w:r>
        <w:rPr>
          <w:rFonts w:eastAsia="Calibri"/>
          <w:lang w:val="fi-FI"/>
        </w:rPr>
        <w:t>unaligned</w:t>
      </w:r>
      <w:proofErr w:type="spellEnd"/>
      <w:r>
        <w:rPr>
          <w:rFonts w:eastAsia="Calibri"/>
          <w:lang w:val="fi-FI"/>
        </w:rPr>
        <w:t xml:space="preserve"> </w:t>
      </w:r>
      <w:proofErr w:type="spellStart"/>
      <w:r>
        <w:rPr>
          <w:rFonts w:eastAsia="Calibri"/>
          <w:lang w:val="fi-FI"/>
        </w:rPr>
        <w:t>frame</w:t>
      </w:r>
      <w:proofErr w:type="spellEnd"/>
      <w:r>
        <w:rPr>
          <w:rFonts w:eastAsia="Calibri"/>
          <w:lang w:val="fi-FI"/>
        </w:rPr>
        <w:t xml:space="preserve"> </w:t>
      </w:r>
      <w:proofErr w:type="spellStart"/>
      <w:r>
        <w:rPr>
          <w:rFonts w:eastAsia="Calibri"/>
          <w:lang w:val="fi-FI"/>
        </w:rPr>
        <w:t>boundaries</w:t>
      </w:r>
      <w:proofErr w:type="spellEnd"/>
      <w:r>
        <w:rPr>
          <w:rFonts w:eastAsia="Calibri"/>
          <w:lang w:val="fi-FI"/>
        </w:rPr>
        <w:t xml:space="preserve"> </w:t>
      </w:r>
      <w:proofErr w:type="spellStart"/>
      <w:r>
        <w:rPr>
          <w:rFonts w:eastAsia="Calibri"/>
          <w:lang w:val="fi-FI"/>
        </w:rPr>
        <w:t>among</w:t>
      </w:r>
      <w:proofErr w:type="spellEnd"/>
      <w:r>
        <w:rPr>
          <w:rFonts w:eastAsia="Calibri"/>
          <w:lang w:val="fi-FI"/>
        </w:rPr>
        <w:t xml:space="preserve"> </w:t>
      </w:r>
      <w:proofErr w:type="spellStart"/>
      <w:r>
        <w:rPr>
          <w:rFonts w:eastAsia="Calibri"/>
          <w:lang w:val="fi-FI"/>
        </w:rPr>
        <w:t>serving</w:t>
      </w:r>
      <w:proofErr w:type="spellEnd"/>
      <w:r>
        <w:rPr>
          <w:rFonts w:eastAsia="Calibri"/>
          <w:lang w:val="fi-FI"/>
        </w:rPr>
        <w:t xml:space="preserve"> </w:t>
      </w:r>
      <w:proofErr w:type="spellStart"/>
      <w:r>
        <w:rPr>
          <w:rFonts w:eastAsia="Calibri"/>
          <w:lang w:val="fi-FI"/>
        </w:rPr>
        <w:t>cells</w:t>
      </w:r>
      <w:proofErr w:type="spellEnd"/>
      <w:r>
        <w:rPr>
          <w:rFonts w:eastAsia="Calibri"/>
          <w:lang w:val="fi-FI"/>
        </w:rPr>
        <w:t xml:space="preserve"> </w:t>
      </w:r>
      <w:proofErr w:type="spellStart"/>
      <w:r>
        <w:rPr>
          <w:rFonts w:eastAsia="Calibri"/>
          <w:lang w:val="fi-FI"/>
        </w:rPr>
        <w:t>can</w:t>
      </w:r>
      <w:proofErr w:type="spellEnd"/>
      <w:r>
        <w:rPr>
          <w:rFonts w:eastAsia="Calibri"/>
          <w:lang w:val="fi-FI"/>
        </w:rPr>
        <w:t xml:space="preserve"> </w:t>
      </w:r>
      <w:proofErr w:type="spellStart"/>
      <w:r>
        <w:rPr>
          <w:rFonts w:eastAsia="Calibri"/>
          <w:lang w:val="fi-FI"/>
        </w:rPr>
        <w:t>be</w:t>
      </w:r>
      <w:proofErr w:type="spellEnd"/>
      <w:r>
        <w:rPr>
          <w:rFonts w:eastAsia="Calibri"/>
          <w:lang w:val="fi-FI"/>
        </w:rPr>
        <w:t xml:space="preserve"> </w:t>
      </w:r>
      <w:proofErr w:type="spellStart"/>
      <w:r>
        <w:rPr>
          <w:rFonts w:eastAsia="Calibri"/>
          <w:lang w:val="fi-FI"/>
        </w:rPr>
        <w:t>handled</w:t>
      </w:r>
      <w:proofErr w:type="spellEnd"/>
      <w:r>
        <w:rPr>
          <w:rFonts w:eastAsia="Calibri"/>
          <w:lang w:val="fi-FI"/>
        </w:rPr>
        <w:t xml:space="preserve"> </w:t>
      </w:r>
      <w:proofErr w:type="spellStart"/>
      <w:r>
        <w:rPr>
          <w:rFonts w:eastAsia="Calibri"/>
          <w:lang w:val="fi-FI"/>
        </w:rPr>
        <w:t>by</w:t>
      </w:r>
      <w:proofErr w:type="spellEnd"/>
      <w:r>
        <w:rPr>
          <w:rFonts w:eastAsia="Calibri"/>
          <w:lang w:val="fi-FI"/>
        </w:rPr>
        <w:t xml:space="preserve"> </w:t>
      </w:r>
      <w:proofErr w:type="spellStart"/>
      <w:r>
        <w:rPr>
          <w:rFonts w:eastAsia="Calibri"/>
          <w:lang w:val="fi-FI"/>
        </w:rPr>
        <w:t>the</w:t>
      </w:r>
      <w:proofErr w:type="spellEnd"/>
      <w:r>
        <w:rPr>
          <w:rFonts w:eastAsia="Calibri"/>
          <w:lang w:val="fi-FI"/>
        </w:rPr>
        <w:t xml:space="preserve"> </w:t>
      </w:r>
      <w:proofErr w:type="spellStart"/>
      <w:r>
        <w:rPr>
          <w:rFonts w:eastAsia="Calibri"/>
          <w:lang w:val="fi-FI"/>
        </w:rPr>
        <w:t>network</w:t>
      </w:r>
      <w:proofErr w:type="spellEnd"/>
      <w:r>
        <w:rPr>
          <w:rFonts w:eastAsia="Calibri"/>
          <w:lang w:val="fi-FI"/>
        </w:rPr>
        <w:t xml:space="preserve">, and </w:t>
      </w:r>
      <w:proofErr w:type="spellStart"/>
      <w:r>
        <w:rPr>
          <w:rFonts w:eastAsia="Calibri"/>
          <w:lang w:val="fi-FI"/>
        </w:rPr>
        <w:t>there</w:t>
      </w:r>
      <w:proofErr w:type="spellEnd"/>
      <w:r>
        <w:rPr>
          <w:rFonts w:eastAsia="Calibri"/>
          <w:lang w:val="fi-FI"/>
        </w:rPr>
        <w:t xml:space="preserve"> is no </w:t>
      </w:r>
      <w:proofErr w:type="spellStart"/>
      <w:r>
        <w:rPr>
          <w:rFonts w:eastAsia="Calibri"/>
          <w:lang w:val="fi-FI"/>
        </w:rPr>
        <w:t>update</w:t>
      </w:r>
      <w:proofErr w:type="spellEnd"/>
      <w:r>
        <w:rPr>
          <w:rFonts w:eastAsia="Calibri"/>
          <w:lang w:val="fi-FI"/>
        </w:rPr>
        <w:t xml:space="preserve"> of </w:t>
      </w:r>
      <w:proofErr w:type="spellStart"/>
      <w:r>
        <w:rPr>
          <w:rFonts w:eastAsia="Calibri"/>
          <w:lang w:val="fi-FI"/>
        </w:rPr>
        <w:t>the</w:t>
      </w:r>
      <w:proofErr w:type="spellEnd"/>
      <w:r>
        <w:rPr>
          <w:rFonts w:eastAsia="Calibri"/>
          <w:lang w:val="fi-FI"/>
        </w:rPr>
        <w:t xml:space="preserve"> </w:t>
      </w:r>
      <w:proofErr w:type="spellStart"/>
      <w:r>
        <w:rPr>
          <w:rFonts w:eastAsia="Calibri"/>
          <w:lang w:val="fi-FI"/>
        </w:rPr>
        <w:t>specifications</w:t>
      </w:r>
      <w:proofErr w:type="spellEnd"/>
      <w:r>
        <w:rPr>
          <w:rFonts w:eastAsia="Calibri"/>
          <w:lang w:val="fi-FI"/>
        </w:rPr>
        <w:t>.</w:t>
      </w:r>
    </w:p>
    <w:p w14:paraId="329F6C0F" w14:textId="2FECE242" w:rsidR="00CB068F" w:rsidRDefault="0085420F" w:rsidP="00CB068F">
      <w:pPr>
        <w:pStyle w:val="Observation"/>
      </w:pPr>
      <w:bookmarkStart w:id="16" w:name="_Toc24060683"/>
      <w:r>
        <w:t>No</w:t>
      </w:r>
      <w:r w:rsidR="00A6206E">
        <w:t xml:space="preserve"> DRX</w:t>
      </w:r>
      <w:r>
        <w:t xml:space="preserve"> </w:t>
      </w:r>
      <w:r w:rsidR="00A6206E">
        <w:t xml:space="preserve">specification </w:t>
      </w:r>
      <w:r>
        <w:t>impact expected from unaligned frame boundaries</w:t>
      </w:r>
      <w:r w:rsidR="00F45A51" w:rsidRPr="00F45A51">
        <w:t xml:space="preserve"> </w:t>
      </w:r>
      <w:r w:rsidR="00F45A51">
        <w:t>within a cell group</w:t>
      </w:r>
      <w:r w:rsidR="00CB068F">
        <w:t>.</w:t>
      </w:r>
      <w:bookmarkEnd w:id="16"/>
    </w:p>
    <w:p w14:paraId="4D7D72F9" w14:textId="53548979" w:rsidR="00620EC9" w:rsidRDefault="00620EC9" w:rsidP="00620EC9">
      <w:pPr>
        <w:pStyle w:val="Heading3"/>
        <w:rPr>
          <w:lang w:eastAsia="zh-CN"/>
        </w:rPr>
      </w:pPr>
      <w:r>
        <w:rPr>
          <w:lang w:eastAsia="zh-CN"/>
        </w:rPr>
        <w:t>2.</w:t>
      </w:r>
      <w:r w:rsidR="00885DEB">
        <w:rPr>
          <w:lang w:eastAsia="zh-CN"/>
        </w:rPr>
        <w:t>2</w:t>
      </w:r>
      <w:r>
        <w:rPr>
          <w:lang w:eastAsia="zh-CN"/>
        </w:rPr>
        <w:t>.3 HARQ</w:t>
      </w:r>
    </w:p>
    <w:p w14:paraId="10A1489D" w14:textId="3E4D1335" w:rsidR="00AD2091" w:rsidRDefault="00564DB2" w:rsidP="00930895">
      <w:pPr>
        <w:pStyle w:val="BodyText"/>
      </w:pPr>
      <w:r>
        <w:t>HARQ feedback in NR is more flexible than in LTE</w:t>
      </w:r>
      <w:r w:rsidR="00601C34">
        <w:t>.</w:t>
      </w:r>
      <w:r w:rsidR="00D26B98">
        <w:t xml:space="preserve"> </w:t>
      </w:r>
      <w:r w:rsidR="00601C34">
        <w:t>T</w:t>
      </w:r>
      <w:r w:rsidR="00D26B98">
        <w:t xml:space="preserve">he timing is given </w:t>
      </w:r>
      <w:r w:rsidR="00601C34">
        <w:t>on slot level and</w:t>
      </w:r>
      <w:r w:rsidR="00F513EE">
        <w:t xml:space="preserve"> is not dependent on frame timing alignment</w:t>
      </w:r>
      <w:r w:rsidR="00774980">
        <w:t xml:space="preserve"> across serving cells.</w:t>
      </w:r>
      <w:r w:rsidR="00601C34">
        <w:t xml:space="preserve"> </w:t>
      </w:r>
      <w:proofErr w:type="gramStart"/>
      <w:r w:rsidR="00774980">
        <w:t>T</w:t>
      </w:r>
      <w:r w:rsidR="00601C34">
        <w:t>hus</w:t>
      </w:r>
      <w:proofErr w:type="gramEnd"/>
      <w:r w:rsidR="00601C34">
        <w:t xml:space="preserve"> slot boundary alignment between the serving cells with the cell group is sufficient, and there is no impact from the relaxed frame timing on HARQ operation.</w:t>
      </w:r>
    </w:p>
    <w:p w14:paraId="22CCF101" w14:textId="738827C7" w:rsidR="00F31EB3" w:rsidRDefault="00F31EB3" w:rsidP="00F31EB3">
      <w:pPr>
        <w:pStyle w:val="Observation"/>
      </w:pPr>
      <w:bookmarkStart w:id="17" w:name="_Toc24060684"/>
      <w:r>
        <w:t>No HARQ specification impact expected from unaligned frame boundaries</w:t>
      </w:r>
      <w:r w:rsidR="00F45A51" w:rsidRPr="00F45A51">
        <w:t xml:space="preserve"> </w:t>
      </w:r>
      <w:r w:rsidR="00F45A51">
        <w:t>within a cell group</w:t>
      </w:r>
      <w:r>
        <w:t>.</w:t>
      </w:r>
      <w:bookmarkStart w:id="18" w:name="_GoBack"/>
      <w:bookmarkEnd w:id="17"/>
      <w:bookmarkEnd w:id="18"/>
    </w:p>
    <w:p w14:paraId="3EAE54E6" w14:textId="6A42F556" w:rsidR="00C01F33" w:rsidRPr="00CE0424" w:rsidRDefault="00B409E0" w:rsidP="00CE0424">
      <w:pPr>
        <w:pStyle w:val="Heading1"/>
      </w:pPr>
      <w:bookmarkStart w:id="19" w:name="_Ref189046994"/>
      <w:r>
        <w:t>3</w:t>
      </w:r>
      <w:r>
        <w:tab/>
      </w:r>
      <w:bookmarkEnd w:id="19"/>
      <w:r w:rsidR="00C01F33" w:rsidRPr="00CE0424">
        <w:t>Conclusion</w:t>
      </w:r>
    </w:p>
    <w:p w14:paraId="3F49A432" w14:textId="77777777" w:rsidR="00672C15" w:rsidRDefault="00672C15" w:rsidP="008D1154">
      <w:pPr>
        <w:pStyle w:val="BodyText"/>
        <w:rPr>
          <w:b/>
          <w:bCs/>
        </w:rPr>
      </w:pPr>
      <w:bookmarkStart w:id="20" w:name="_Hlk9954139"/>
      <w:r>
        <w:t>In the previous sections</w:t>
      </w:r>
      <w:r w:rsidRPr="00CE0424">
        <w:t xml:space="preserve"> we </w:t>
      </w:r>
      <w:r>
        <w:t>made the following observations</w:t>
      </w:r>
      <w:r w:rsidRPr="00CE0424">
        <w:t>:</w:t>
      </w:r>
      <w:r>
        <w:rPr>
          <w:b/>
          <w:bCs/>
        </w:rPr>
        <w:t xml:space="preserve"> </w:t>
      </w:r>
    </w:p>
    <w:p w14:paraId="08C14863" w14:textId="733530FE" w:rsidR="00904EA4" w:rsidRDefault="00672C15" w:rsidP="00904EA4">
      <w:pPr>
        <w:pStyle w:val="TableofFigures"/>
        <w:tabs>
          <w:tab w:val="right" w:leader="dot" w:pos="9629"/>
        </w:tabs>
        <w:jc w:val="both"/>
        <w:rPr>
          <w:rFonts w:asciiTheme="minorHAnsi" w:eastAsiaTheme="minorEastAsia" w:hAnsiTheme="minorHAnsi" w:cstheme="minorBidi"/>
          <w:b w:val="0"/>
          <w:noProof/>
          <w:sz w:val="24"/>
          <w:szCs w:val="24"/>
          <w:lang w:val="fi-FI" w:eastAsia="en-GB"/>
        </w:rPr>
      </w:pPr>
      <w:r>
        <w:rPr>
          <w:b w:val="0"/>
          <w:bCs/>
        </w:rPr>
        <w:fldChar w:fldCharType="begin"/>
      </w:r>
      <w:r>
        <w:rPr>
          <w:bCs/>
        </w:rPr>
        <w:instrText xml:space="preserve"> TOC \f O \n \h \z \t "Observation" \c </w:instrText>
      </w:r>
      <w:r>
        <w:rPr>
          <w:b w:val="0"/>
          <w:bCs/>
        </w:rPr>
        <w:fldChar w:fldCharType="separate"/>
      </w:r>
      <w:hyperlink w:anchor="_Toc24060675" w:history="1">
        <w:r w:rsidR="00904EA4" w:rsidRPr="00AE3C4C">
          <w:rPr>
            <w:rStyle w:val="Hyperlink"/>
            <w:noProof/>
          </w:rPr>
          <w:t>Observation 1</w:t>
        </w:r>
        <w:r w:rsidR="00904EA4">
          <w:rPr>
            <w:rFonts w:asciiTheme="minorHAnsi" w:eastAsiaTheme="minorEastAsia" w:hAnsiTheme="minorHAnsi" w:cstheme="minorBidi"/>
            <w:b w:val="0"/>
            <w:noProof/>
            <w:sz w:val="24"/>
            <w:szCs w:val="24"/>
            <w:lang w:val="fi-FI" w:eastAsia="en-GB"/>
          </w:rPr>
          <w:tab/>
        </w:r>
        <w:r w:rsidR="00904EA4" w:rsidRPr="00AE3C4C">
          <w:rPr>
            <w:rStyle w:val="Hyperlink"/>
            <w:noProof/>
          </w:rPr>
          <w:t>RAN1 agreed to introduce RRC signalling of slot offset to the UE in unaligned frame boundary with slot alignment and partial SFN alignment inter-band CA.</w:t>
        </w:r>
      </w:hyperlink>
    </w:p>
    <w:p w14:paraId="7A02B3C3" w14:textId="16564713"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76" w:history="1">
        <w:r w:rsidRPr="00AE3C4C">
          <w:rPr>
            <w:rStyle w:val="Hyperlink"/>
            <w:noProof/>
          </w:rPr>
          <w:t>Observation 2</w:t>
        </w:r>
        <w:r>
          <w:rPr>
            <w:rFonts w:asciiTheme="minorHAnsi" w:eastAsiaTheme="minorEastAsia" w:hAnsiTheme="minorHAnsi" w:cstheme="minorBidi"/>
            <w:b w:val="0"/>
            <w:noProof/>
            <w:sz w:val="24"/>
            <w:szCs w:val="24"/>
            <w:lang w:val="fi-FI" w:eastAsia="en-GB"/>
          </w:rPr>
          <w:tab/>
        </w:r>
        <w:r w:rsidRPr="00AE3C4C">
          <w:rPr>
            <w:rStyle w:val="Hyperlink"/>
            <w:noProof/>
          </w:rPr>
          <w:t>Unaligned frame boundaries within a cell group introduces no ambiguity with regards to FR1 gap pattern calculation.</w:t>
        </w:r>
      </w:hyperlink>
    </w:p>
    <w:p w14:paraId="54B729B6" w14:textId="76DF714F"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77" w:history="1">
        <w:r w:rsidRPr="00AE3C4C">
          <w:rPr>
            <w:rStyle w:val="Hyperlink"/>
            <w:noProof/>
          </w:rPr>
          <w:t>Observation 3</w:t>
        </w:r>
        <w:r>
          <w:rPr>
            <w:rFonts w:asciiTheme="minorHAnsi" w:eastAsiaTheme="minorEastAsia" w:hAnsiTheme="minorHAnsi" w:cstheme="minorBidi"/>
            <w:b w:val="0"/>
            <w:noProof/>
            <w:sz w:val="24"/>
            <w:szCs w:val="24"/>
            <w:lang w:val="fi-FI" w:eastAsia="en-GB"/>
          </w:rPr>
          <w:tab/>
        </w:r>
        <w:r w:rsidRPr="00AE3C4C">
          <w:rPr>
            <w:rStyle w:val="Hyperlink"/>
            <w:noProof/>
          </w:rPr>
          <w:t>Unaligned frame boundaries within a cell group introduces ambiguity with regards to FR2 gap pattern calculation.</w:t>
        </w:r>
      </w:hyperlink>
    </w:p>
    <w:p w14:paraId="11C81E49" w14:textId="3B7761E1"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78" w:history="1">
        <w:r w:rsidRPr="00AE3C4C">
          <w:rPr>
            <w:rStyle w:val="Hyperlink"/>
            <w:noProof/>
          </w:rPr>
          <w:t>Observation 4</w:t>
        </w:r>
        <w:r>
          <w:rPr>
            <w:rFonts w:asciiTheme="minorHAnsi" w:eastAsiaTheme="minorEastAsia" w:hAnsiTheme="minorHAnsi" w:cstheme="minorBidi"/>
            <w:b w:val="0"/>
            <w:noProof/>
            <w:sz w:val="24"/>
            <w:szCs w:val="24"/>
            <w:lang w:val="fi-FI" w:eastAsia="en-GB"/>
          </w:rPr>
          <w:tab/>
        </w:r>
        <w:r w:rsidRPr="00AE3C4C">
          <w:rPr>
            <w:rStyle w:val="Hyperlink"/>
            <w:noProof/>
          </w:rPr>
          <w:t>Unaligned frame boundaries within a cell group introduces ambiguity for the system information modification period.</w:t>
        </w:r>
      </w:hyperlink>
    </w:p>
    <w:p w14:paraId="453E90F7" w14:textId="14F1EC34"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79" w:history="1">
        <w:r w:rsidRPr="00AE3C4C">
          <w:rPr>
            <w:rStyle w:val="Hyperlink"/>
            <w:noProof/>
          </w:rPr>
          <w:t>Observation 5</w:t>
        </w:r>
        <w:r>
          <w:rPr>
            <w:rFonts w:asciiTheme="minorHAnsi" w:eastAsiaTheme="minorEastAsia" w:hAnsiTheme="minorHAnsi" w:cstheme="minorBidi"/>
            <w:b w:val="0"/>
            <w:noProof/>
            <w:sz w:val="24"/>
            <w:szCs w:val="24"/>
            <w:lang w:val="fi-FI" w:eastAsia="en-GB"/>
          </w:rPr>
          <w:tab/>
        </w:r>
        <w:r w:rsidRPr="00AE3C4C">
          <w:rPr>
            <w:rStyle w:val="Hyperlink"/>
            <w:noProof/>
          </w:rPr>
          <w:t>Unaligned frame boundaries within a cell group introduces ambiguity for the system information window.</w:t>
        </w:r>
      </w:hyperlink>
    </w:p>
    <w:p w14:paraId="0C4C2149" w14:textId="1CD9808C"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80" w:history="1">
        <w:r w:rsidRPr="00AE3C4C">
          <w:rPr>
            <w:rStyle w:val="Hyperlink"/>
            <w:noProof/>
          </w:rPr>
          <w:t>Observation 6</w:t>
        </w:r>
        <w:r>
          <w:rPr>
            <w:rFonts w:asciiTheme="minorHAnsi" w:eastAsiaTheme="minorEastAsia" w:hAnsiTheme="minorHAnsi" w:cstheme="minorBidi"/>
            <w:b w:val="0"/>
            <w:noProof/>
            <w:sz w:val="24"/>
            <w:szCs w:val="24"/>
            <w:lang w:val="fi-FI" w:eastAsia="en-GB"/>
          </w:rPr>
          <w:tab/>
        </w:r>
        <w:r w:rsidRPr="00AE3C4C">
          <w:rPr>
            <w:rStyle w:val="Hyperlink"/>
            <w:noProof/>
          </w:rPr>
          <w:t>Unaligned frame boundaries within a cell group introduces no ambiguity for the reference signal measurement timing configuration.</w:t>
        </w:r>
      </w:hyperlink>
    </w:p>
    <w:p w14:paraId="5FA5A0EB" w14:textId="33BC84E5"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81" w:history="1">
        <w:r w:rsidRPr="00AE3C4C">
          <w:rPr>
            <w:rStyle w:val="Hyperlink"/>
            <w:noProof/>
          </w:rPr>
          <w:t>Observation 7</w:t>
        </w:r>
        <w:r>
          <w:rPr>
            <w:rFonts w:asciiTheme="minorHAnsi" w:eastAsiaTheme="minorEastAsia" w:hAnsiTheme="minorHAnsi" w:cstheme="minorBidi"/>
            <w:b w:val="0"/>
            <w:noProof/>
            <w:sz w:val="24"/>
            <w:szCs w:val="24"/>
            <w:lang w:val="fi-FI" w:eastAsia="en-GB"/>
          </w:rPr>
          <w:tab/>
        </w:r>
        <w:r w:rsidRPr="00AE3C4C">
          <w:rPr>
            <w:rStyle w:val="Hyperlink"/>
            <w:noProof/>
          </w:rPr>
          <w:t>No impact expected from unaligned frame boundaries within a cell group on semi-persistent scheduling.</w:t>
        </w:r>
      </w:hyperlink>
    </w:p>
    <w:p w14:paraId="701B486F" w14:textId="40A06EE5"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82" w:history="1">
        <w:r w:rsidRPr="00AE3C4C">
          <w:rPr>
            <w:rStyle w:val="Hyperlink"/>
            <w:noProof/>
          </w:rPr>
          <w:t>Observation 8</w:t>
        </w:r>
        <w:r>
          <w:rPr>
            <w:rFonts w:asciiTheme="minorHAnsi" w:eastAsiaTheme="minorEastAsia" w:hAnsiTheme="minorHAnsi" w:cstheme="minorBidi"/>
            <w:b w:val="0"/>
            <w:noProof/>
            <w:sz w:val="24"/>
            <w:szCs w:val="24"/>
            <w:lang w:val="fi-FI" w:eastAsia="en-GB"/>
          </w:rPr>
          <w:tab/>
        </w:r>
        <w:r w:rsidRPr="00AE3C4C">
          <w:rPr>
            <w:rStyle w:val="Hyperlink"/>
            <w:noProof/>
          </w:rPr>
          <w:t>No impact expected from unaligned frame boundaries within a cell group on configured grant.</w:t>
        </w:r>
      </w:hyperlink>
    </w:p>
    <w:p w14:paraId="61B6CE32" w14:textId="3AB3D91E"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83" w:history="1">
        <w:r w:rsidRPr="00AE3C4C">
          <w:rPr>
            <w:rStyle w:val="Hyperlink"/>
            <w:noProof/>
          </w:rPr>
          <w:t>Observation 9</w:t>
        </w:r>
        <w:r>
          <w:rPr>
            <w:rFonts w:asciiTheme="minorHAnsi" w:eastAsiaTheme="minorEastAsia" w:hAnsiTheme="minorHAnsi" w:cstheme="minorBidi"/>
            <w:b w:val="0"/>
            <w:noProof/>
            <w:sz w:val="24"/>
            <w:szCs w:val="24"/>
            <w:lang w:val="fi-FI" w:eastAsia="en-GB"/>
          </w:rPr>
          <w:tab/>
        </w:r>
        <w:r w:rsidRPr="00AE3C4C">
          <w:rPr>
            <w:rStyle w:val="Hyperlink"/>
            <w:noProof/>
          </w:rPr>
          <w:t>No DRX specification impact expected from unaligned frame boundaries within a cell group.</w:t>
        </w:r>
      </w:hyperlink>
    </w:p>
    <w:p w14:paraId="3D114861" w14:textId="464A1BDA"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84" w:history="1">
        <w:r w:rsidRPr="00AE3C4C">
          <w:rPr>
            <w:rStyle w:val="Hyperlink"/>
            <w:noProof/>
          </w:rPr>
          <w:t>Observation 10</w:t>
        </w:r>
        <w:r>
          <w:rPr>
            <w:rFonts w:asciiTheme="minorHAnsi" w:eastAsiaTheme="minorEastAsia" w:hAnsiTheme="minorHAnsi" w:cstheme="minorBidi"/>
            <w:b w:val="0"/>
            <w:noProof/>
            <w:sz w:val="24"/>
            <w:szCs w:val="24"/>
            <w:lang w:val="fi-FI" w:eastAsia="en-GB"/>
          </w:rPr>
          <w:tab/>
        </w:r>
        <w:r w:rsidRPr="00AE3C4C">
          <w:rPr>
            <w:rStyle w:val="Hyperlink"/>
            <w:noProof/>
          </w:rPr>
          <w:t>No HARQ specification impact expected from unaligned frame boundaries within a cell group.</w:t>
        </w:r>
      </w:hyperlink>
    </w:p>
    <w:p w14:paraId="43936D5B" w14:textId="5B128083" w:rsidR="008A5B04" w:rsidRDefault="00672C15" w:rsidP="008D1154">
      <w:pPr>
        <w:pStyle w:val="BodyText"/>
        <w:rPr>
          <w:b/>
          <w:bCs/>
        </w:rPr>
      </w:pPr>
      <w:r>
        <w:rPr>
          <w:b/>
          <w:bCs/>
        </w:rPr>
        <w:fldChar w:fldCharType="end"/>
      </w:r>
    </w:p>
    <w:p w14:paraId="5D379E64" w14:textId="4CDC897D" w:rsidR="006E1C82" w:rsidRDefault="008E065E" w:rsidP="008D1154">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0C88C4C" w14:textId="7350334B" w:rsidR="00904EA4"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60685" w:history="1">
        <w:r w:rsidR="00904EA4" w:rsidRPr="00E651A5">
          <w:rPr>
            <w:rStyle w:val="Hyperlink"/>
            <w:noProof/>
          </w:rPr>
          <w:t>Proposal 1</w:t>
        </w:r>
        <w:r w:rsidR="00904EA4">
          <w:rPr>
            <w:rFonts w:asciiTheme="minorHAnsi" w:eastAsiaTheme="minorEastAsia" w:hAnsiTheme="minorHAnsi" w:cstheme="minorBidi"/>
            <w:b w:val="0"/>
            <w:noProof/>
            <w:sz w:val="24"/>
            <w:szCs w:val="24"/>
            <w:lang w:val="fi-FI" w:eastAsia="en-GB"/>
          </w:rPr>
          <w:tab/>
        </w:r>
        <w:r w:rsidR="00904EA4" w:rsidRPr="00E651A5">
          <w:rPr>
            <w:rStyle w:val="Hyperlink"/>
            <w:noProof/>
          </w:rPr>
          <w:t>RAN2 to await input from RAN1 on the signalling of the frame boundary slot offset.</w:t>
        </w:r>
      </w:hyperlink>
    </w:p>
    <w:p w14:paraId="78BAF9D3" w14:textId="5606FF37"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86" w:history="1">
        <w:r w:rsidRPr="00E651A5">
          <w:rPr>
            <w:rStyle w:val="Hyperlink"/>
            <w:noProof/>
          </w:rPr>
          <w:t>Proposal 2</w:t>
        </w:r>
        <w:r>
          <w:rPr>
            <w:rFonts w:asciiTheme="minorHAnsi" w:eastAsiaTheme="minorEastAsia" w:hAnsiTheme="minorHAnsi" w:cstheme="minorBidi"/>
            <w:b w:val="0"/>
            <w:noProof/>
            <w:sz w:val="24"/>
            <w:szCs w:val="24"/>
            <w:lang w:val="fi-FI" w:eastAsia="en-GB"/>
          </w:rPr>
          <w:tab/>
        </w:r>
        <w:r w:rsidRPr="00E651A5">
          <w:rPr>
            <w:rStyle w:val="Hyperlink"/>
            <w:noProof/>
          </w:rPr>
          <w:t>RAN2 to await input from RAN1 for UE capability signalling for unaligned frame boundary with slot offset.</w:t>
        </w:r>
      </w:hyperlink>
    </w:p>
    <w:p w14:paraId="380F1907" w14:textId="09B8FF33"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87" w:history="1">
        <w:r w:rsidRPr="00E651A5">
          <w:rPr>
            <w:rStyle w:val="Hyperlink"/>
            <w:noProof/>
          </w:rPr>
          <w:t>Proposal 3</w:t>
        </w:r>
        <w:r>
          <w:rPr>
            <w:rFonts w:asciiTheme="minorHAnsi" w:eastAsiaTheme="minorEastAsia" w:hAnsiTheme="minorHAnsi" w:cstheme="minorBidi"/>
            <w:b w:val="0"/>
            <w:noProof/>
            <w:sz w:val="24"/>
            <w:szCs w:val="24"/>
            <w:lang w:val="fi-FI" w:eastAsia="en-GB"/>
          </w:rPr>
          <w:tab/>
        </w:r>
        <w:r w:rsidRPr="00E651A5">
          <w:rPr>
            <w:rStyle w:val="Hyperlink"/>
            <w:noProof/>
          </w:rPr>
          <w:t>Send LS to RAN4 to ask for the feasibility of using PCell for NR SA as reference for FR2 gap pattern calculation.</w:t>
        </w:r>
      </w:hyperlink>
    </w:p>
    <w:p w14:paraId="363FE14F" w14:textId="6C241CA1"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88" w:history="1">
        <w:r w:rsidRPr="00E651A5">
          <w:rPr>
            <w:rStyle w:val="Hyperlink"/>
            <w:noProof/>
          </w:rPr>
          <w:t>Proposal 4</w:t>
        </w:r>
        <w:r>
          <w:rPr>
            <w:rFonts w:asciiTheme="minorHAnsi" w:eastAsiaTheme="minorEastAsia" w:hAnsiTheme="minorHAnsi" w:cstheme="minorBidi"/>
            <w:b w:val="0"/>
            <w:noProof/>
            <w:sz w:val="24"/>
            <w:szCs w:val="24"/>
            <w:lang w:val="fi-FI" w:eastAsia="en-GB"/>
          </w:rPr>
          <w:tab/>
        </w:r>
        <w:r w:rsidRPr="00E651A5">
          <w:rPr>
            <w:rStyle w:val="Hyperlink"/>
            <w:noProof/>
          </w:rPr>
          <w:t>Update the system information modification period calculation to clarify that the SFN used as reference is the SFN of the PCell.</w:t>
        </w:r>
      </w:hyperlink>
    </w:p>
    <w:p w14:paraId="4BB35D47" w14:textId="6EFF98E8" w:rsidR="00904EA4" w:rsidRDefault="00904EA4">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0689" w:history="1">
        <w:r w:rsidRPr="00E651A5">
          <w:rPr>
            <w:rStyle w:val="Hyperlink"/>
            <w:noProof/>
          </w:rPr>
          <w:t>Proposal 5</w:t>
        </w:r>
        <w:r>
          <w:rPr>
            <w:rFonts w:asciiTheme="minorHAnsi" w:eastAsiaTheme="minorEastAsia" w:hAnsiTheme="minorHAnsi" w:cstheme="minorBidi"/>
            <w:b w:val="0"/>
            <w:noProof/>
            <w:sz w:val="24"/>
            <w:szCs w:val="24"/>
            <w:lang w:val="fi-FI" w:eastAsia="en-GB"/>
          </w:rPr>
          <w:tab/>
        </w:r>
        <w:r w:rsidRPr="00E651A5">
          <w:rPr>
            <w:rStyle w:val="Hyperlink"/>
            <w:noProof/>
          </w:rPr>
          <w:t>Update the system information window calculation to clarify that the SFN used as reference is the SFN of the PCell.</w:t>
        </w:r>
      </w:hyperlink>
    </w:p>
    <w:p w14:paraId="7EEF52FB" w14:textId="3B0E54DE" w:rsidR="00C01F33" w:rsidRPr="00CE0424" w:rsidRDefault="006E1C82" w:rsidP="008D1154">
      <w:pPr>
        <w:pStyle w:val="TableofFigures"/>
        <w:tabs>
          <w:tab w:val="right" w:leader="dot" w:pos="9629"/>
        </w:tabs>
        <w:ind w:left="0" w:firstLine="0"/>
        <w:jc w:val="both"/>
      </w:pPr>
      <w:r>
        <w:rPr>
          <w:b w:val="0"/>
          <w:bCs/>
          <w:lang w:val="en-US"/>
        </w:rPr>
        <w:fldChar w:fldCharType="end"/>
      </w:r>
      <w:bookmarkEnd w:id="20"/>
    </w:p>
    <w:p w14:paraId="3E4F63CA" w14:textId="77777777" w:rsidR="00F507D1" w:rsidRPr="00844EB2" w:rsidRDefault="00F507D1" w:rsidP="00CE0424">
      <w:pPr>
        <w:pStyle w:val="Heading1"/>
      </w:pPr>
      <w:bookmarkStart w:id="21" w:name="_In-sequence_SDU_delivery"/>
      <w:bookmarkEnd w:id="21"/>
      <w:r w:rsidRPr="00844EB2">
        <w:t>References</w:t>
      </w:r>
    </w:p>
    <w:p w14:paraId="410FF8B1" w14:textId="42388CE3" w:rsidR="003A7EF3" w:rsidRPr="0075482B" w:rsidRDefault="003B3593" w:rsidP="003B3593">
      <w:pPr>
        <w:pStyle w:val="Reference"/>
        <w:rPr>
          <w:rFonts w:cs="Arial"/>
        </w:rPr>
      </w:pPr>
      <w:bookmarkStart w:id="22" w:name="_Ref23324192"/>
      <w:r w:rsidRPr="00A153F0">
        <w:t>R1-1911410, “</w:t>
      </w:r>
      <w:r w:rsidRPr="003B3593">
        <w:t>FL Summary on support of unaligned frame boundary for R16 NR inter-band CA</w:t>
      </w:r>
      <w:r>
        <w:t>”, CMCC, 3GPP TSG RAN WG1 #98bis, Chongqing, China, October 14th – 20th, 2019</w:t>
      </w:r>
      <w:bookmarkEnd w:id="22"/>
      <w:r w:rsidR="007B2475">
        <w:t>.</w:t>
      </w:r>
    </w:p>
    <w:p w14:paraId="6DD609AD" w14:textId="21D8FD46" w:rsidR="0075482B" w:rsidRDefault="0075482B" w:rsidP="005A6A05">
      <w:pPr>
        <w:pStyle w:val="Reference"/>
        <w:rPr>
          <w:rFonts w:cs="Arial"/>
        </w:rPr>
      </w:pPr>
      <w:bookmarkStart w:id="23" w:name="_Ref23326435"/>
      <w:r w:rsidRPr="0075482B">
        <w:rPr>
          <w:rFonts w:cs="Arial"/>
        </w:rPr>
        <w:t>R2-1912941, “Impact analysis of NR CA frame timing relaxation”, 3GPP TSG-RAN WG2 Meeting #107bis, Chongqing, China, 14th - 18th October 2019</w:t>
      </w:r>
      <w:bookmarkEnd w:id="23"/>
      <w:r w:rsidR="007B2475">
        <w:rPr>
          <w:rFonts w:cs="Arial"/>
        </w:rPr>
        <w:t>.</w:t>
      </w:r>
    </w:p>
    <w:sectPr w:rsidR="0075482B"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60341" w14:textId="77777777" w:rsidR="005A6A05" w:rsidRDefault="005A6A05">
      <w:r>
        <w:separator/>
      </w:r>
    </w:p>
  </w:endnote>
  <w:endnote w:type="continuationSeparator" w:id="0">
    <w:p w14:paraId="19FD943C" w14:textId="77777777" w:rsidR="005A6A05" w:rsidRDefault="005A6A05">
      <w:r>
        <w:continuationSeparator/>
      </w:r>
    </w:p>
  </w:endnote>
  <w:endnote w:type="continuationNotice" w:id="1">
    <w:p w14:paraId="1D60119F" w14:textId="77777777" w:rsidR="002C35E3" w:rsidRDefault="002C3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5A6A05" w:rsidRDefault="005A6A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50CB0" w14:textId="77777777" w:rsidR="005A6A05" w:rsidRDefault="005A6A05">
      <w:r>
        <w:separator/>
      </w:r>
    </w:p>
  </w:footnote>
  <w:footnote w:type="continuationSeparator" w:id="0">
    <w:p w14:paraId="3A4EAC06" w14:textId="77777777" w:rsidR="005A6A05" w:rsidRDefault="005A6A05">
      <w:r>
        <w:continuationSeparator/>
      </w:r>
    </w:p>
  </w:footnote>
  <w:footnote w:type="continuationNotice" w:id="1">
    <w:p w14:paraId="51B7B6E7" w14:textId="77777777" w:rsidR="002C35E3" w:rsidRDefault="002C35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5A6A05" w:rsidRDefault="005A6A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9E41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8889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91565F"/>
    <w:multiLevelType w:val="hybridMultilevel"/>
    <w:tmpl w:val="890C31CC"/>
    <w:lvl w:ilvl="0" w:tplc="BFCA2BCC">
      <w:start w:val="1"/>
      <w:numFmt w:val="bullet"/>
      <w:lvlText w:val="—"/>
      <w:lvlJc w:val="left"/>
      <w:pPr>
        <w:tabs>
          <w:tab w:val="num" w:pos="720"/>
        </w:tabs>
        <w:ind w:left="720" w:hanging="360"/>
      </w:pPr>
      <w:rPr>
        <w:rFonts w:ascii="Ericsson Hilda Light" w:hAnsi="Ericsson Hilda Light" w:hint="default"/>
      </w:rPr>
    </w:lvl>
    <w:lvl w:ilvl="1" w:tplc="767C17F8">
      <w:start w:val="238"/>
      <w:numFmt w:val="bullet"/>
      <w:lvlText w:val="—"/>
      <w:lvlJc w:val="left"/>
      <w:pPr>
        <w:tabs>
          <w:tab w:val="num" w:pos="1440"/>
        </w:tabs>
        <w:ind w:left="1440" w:hanging="360"/>
      </w:pPr>
      <w:rPr>
        <w:rFonts w:ascii="Ericsson Hilda Light" w:hAnsi="Ericsson Hilda Light" w:hint="default"/>
      </w:rPr>
    </w:lvl>
    <w:lvl w:ilvl="2" w:tplc="E54EA14A">
      <w:start w:val="238"/>
      <w:numFmt w:val="bullet"/>
      <w:lvlText w:val="—"/>
      <w:lvlJc w:val="left"/>
      <w:pPr>
        <w:tabs>
          <w:tab w:val="num" w:pos="2160"/>
        </w:tabs>
        <w:ind w:left="2160" w:hanging="360"/>
      </w:pPr>
      <w:rPr>
        <w:rFonts w:ascii="Ericsson Hilda Light" w:hAnsi="Ericsson Hilda Light" w:hint="default"/>
      </w:rPr>
    </w:lvl>
    <w:lvl w:ilvl="3" w:tplc="0ECC2B2A" w:tentative="1">
      <w:start w:val="1"/>
      <w:numFmt w:val="bullet"/>
      <w:lvlText w:val="—"/>
      <w:lvlJc w:val="left"/>
      <w:pPr>
        <w:tabs>
          <w:tab w:val="num" w:pos="2880"/>
        </w:tabs>
        <w:ind w:left="2880" w:hanging="360"/>
      </w:pPr>
      <w:rPr>
        <w:rFonts w:ascii="Ericsson Hilda Light" w:hAnsi="Ericsson Hilda Light" w:hint="default"/>
      </w:rPr>
    </w:lvl>
    <w:lvl w:ilvl="4" w:tplc="3886D3E6" w:tentative="1">
      <w:start w:val="1"/>
      <w:numFmt w:val="bullet"/>
      <w:lvlText w:val="—"/>
      <w:lvlJc w:val="left"/>
      <w:pPr>
        <w:tabs>
          <w:tab w:val="num" w:pos="3600"/>
        </w:tabs>
        <w:ind w:left="3600" w:hanging="360"/>
      </w:pPr>
      <w:rPr>
        <w:rFonts w:ascii="Ericsson Hilda Light" w:hAnsi="Ericsson Hilda Light" w:hint="default"/>
      </w:rPr>
    </w:lvl>
    <w:lvl w:ilvl="5" w:tplc="DB3C3FC8" w:tentative="1">
      <w:start w:val="1"/>
      <w:numFmt w:val="bullet"/>
      <w:lvlText w:val="—"/>
      <w:lvlJc w:val="left"/>
      <w:pPr>
        <w:tabs>
          <w:tab w:val="num" w:pos="4320"/>
        </w:tabs>
        <w:ind w:left="4320" w:hanging="360"/>
      </w:pPr>
      <w:rPr>
        <w:rFonts w:ascii="Ericsson Hilda Light" w:hAnsi="Ericsson Hilda Light" w:hint="default"/>
      </w:rPr>
    </w:lvl>
    <w:lvl w:ilvl="6" w:tplc="2968BE04" w:tentative="1">
      <w:start w:val="1"/>
      <w:numFmt w:val="bullet"/>
      <w:lvlText w:val="—"/>
      <w:lvlJc w:val="left"/>
      <w:pPr>
        <w:tabs>
          <w:tab w:val="num" w:pos="5040"/>
        </w:tabs>
        <w:ind w:left="5040" w:hanging="360"/>
      </w:pPr>
      <w:rPr>
        <w:rFonts w:ascii="Ericsson Hilda Light" w:hAnsi="Ericsson Hilda Light" w:hint="default"/>
      </w:rPr>
    </w:lvl>
    <w:lvl w:ilvl="7" w:tplc="5A3C277E" w:tentative="1">
      <w:start w:val="1"/>
      <w:numFmt w:val="bullet"/>
      <w:lvlText w:val="—"/>
      <w:lvlJc w:val="left"/>
      <w:pPr>
        <w:tabs>
          <w:tab w:val="num" w:pos="5760"/>
        </w:tabs>
        <w:ind w:left="5760" w:hanging="360"/>
      </w:pPr>
      <w:rPr>
        <w:rFonts w:ascii="Ericsson Hilda Light" w:hAnsi="Ericsson Hilda Light" w:hint="default"/>
      </w:rPr>
    </w:lvl>
    <w:lvl w:ilvl="8" w:tplc="5A90C8FE"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CB22C8F"/>
    <w:multiLevelType w:val="hybridMultilevel"/>
    <w:tmpl w:val="41B656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4122A7"/>
    <w:multiLevelType w:val="hybridMultilevel"/>
    <w:tmpl w:val="222AF7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6F677E"/>
    <w:multiLevelType w:val="hybridMultilevel"/>
    <w:tmpl w:val="D1BA648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7587E"/>
    <w:multiLevelType w:val="multilevel"/>
    <w:tmpl w:val="5650C612"/>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AF16B89"/>
    <w:multiLevelType w:val="hybridMultilevel"/>
    <w:tmpl w:val="74DEC6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640652"/>
    <w:multiLevelType w:val="hybridMultilevel"/>
    <w:tmpl w:val="506C91AC"/>
    <w:lvl w:ilvl="0" w:tplc="FA842E96">
      <w:start w:val="1"/>
      <w:numFmt w:val="bullet"/>
      <w:lvlText w:val="—"/>
      <w:lvlJc w:val="left"/>
      <w:pPr>
        <w:tabs>
          <w:tab w:val="num" w:pos="720"/>
        </w:tabs>
        <w:ind w:left="720" w:hanging="360"/>
      </w:pPr>
      <w:rPr>
        <w:rFonts w:ascii="Ericsson Hilda Light" w:hAnsi="Ericsson Hilda Light" w:hint="default"/>
      </w:rPr>
    </w:lvl>
    <w:lvl w:ilvl="1" w:tplc="98849B6E" w:tentative="1">
      <w:start w:val="1"/>
      <w:numFmt w:val="bullet"/>
      <w:lvlText w:val="—"/>
      <w:lvlJc w:val="left"/>
      <w:pPr>
        <w:tabs>
          <w:tab w:val="num" w:pos="1440"/>
        </w:tabs>
        <w:ind w:left="1440" w:hanging="360"/>
      </w:pPr>
      <w:rPr>
        <w:rFonts w:ascii="Ericsson Hilda Light" w:hAnsi="Ericsson Hilda Light" w:hint="default"/>
      </w:rPr>
    </w:lvl>
    <w:lvl w:ilvl="2" w:tplc="3878D494" w:tentative="1">
      <w:start w:val="1"/>
      <w:numFmt w:val="bullet"/>
      <w:lvlText w:val="—"/>
      <w:lvlJc w:val="left"/>
      <w:pPr>
        <w:tabs>
          <w:tab w:val="num" w:pos="2160"/>
        </w:tabs>
        <w:ind w:left="2160" w:hanging="360"/>
      </w:pPr>
      <w:rPr>
        <w:rFonts w:ascii="Ericsson Hilda Light" w:hAnsi="Ericsson Hilda Light" w:hint="default"/>
      </w:rPr>
    </w:lvl>
    <w:lvl w:ilvl="3" w:tplc="D4C2B5EA" w:tentative="1">
      <w:start w:val="1"/>
      <w:numFmt w:val="bullet"/>
      <w:lvlText w:val="—"/>
      <w:lvlJc w:val="left"/>
      <w:pPr>
        <w:tabs>
          <w:tab w:val="num" w:pos="2880"/>
        </w:tabs>
        <w:ind w:left="2880" w:hanging="360"/>
      </w:pPr>
      <w:rPr>
        <w:rFonts w:ascii="Ericsson Hilda Light" w:hAnsi="Ericsson Hilda Light" w:hint="default"/>
      </w:rPr>
    </w:lvl>
    <w:lvl w:ilvl="4" w:tplc="6D68CD88" w:tentative="1">
      <w:start w:val="1"/>
      <w:numFmt w:val="bullet"/>
      <w:lvlText w:val="—"/>
      <w:lvlJc w:val="left"/>
      <w:pPr>
        <w:tabs>
          <w:tab w:val="num" w:pos="3600"/>
        </w:tabs>
        <w:ind w:left="3600" w:hanging="360"/>
      </w:pPr>
      <w:rPr>
        <w:rFonts w:ascii="Ericsson Hilda Light" w:hAnsi="Ericsson Hilda Light" w:hint="default"/>
      </w:rPr>
    </w:lvl>
    <w:lvl w:ilvl="5" w:tplc="97040AD0" w:tentative="1">
      <w:start w:val="1"/>
      <w:numFmt w:val="bullet"/>
      <w:lvlText w:val="—"/>
      <w:lvlJc w:val="left"/>
      <w:pPr>
        <w:tabs>
          <w:tab w:val="num" w:pos="4320"/>
        </w:tabs>
        <w:ind w:left="4320" w:hanging="360"/>
      </w:pPr>
      <w:rPr>
        <w:rFonts w:ascii="Ericsson Hilda Light" w:hAnsi="Ericsson Hilda Light" w:hint="default"/>
      </w:rPr>
    </w:lvl>
    <w:lvl w:ilvl="6" w:tplc="28F4949A" w:tentative="1">
      <w:start w:val="1"/>
      <w:numFmt w:val="bullet"/>
      <w:lvlText w:val="—"/>
      <w:lvlJc w:val="left"/>
      <w:pPr>
        <w:tabs>
          <w:tab w:val="num" w:pos="5040"/>
        </w:tabs>
        <w:ind w:left="5040" w:hanging="360"/>
      </w:pPr>
      <w:rPr>
        <w:rFonts w:ascii="Ericsson Hilda Light" w:hAnsi="Ericsson Hilda Light" w:hint="default"/>
      </w:rPr>
    </w:lvl>
    <w:lvl w:ilvl="7" w:tplc="63A2AA9A" w:tentative="1">
      <w:start w:val="1"/>
      <w:numFmt w:val="bullet"/>
      <w:lvlText w:val="—"/>
      <w:lvlJc w:val="left"/>
      <w:pPr>
        <w:tabs>
          <w:tab w:val="num" w:pos="5760"/>
        </w:tabs>
        <w:ind w:left="5760" w:hanging="360"/>
      </w:pPr>
      <w:rPr>
        <w:rFonts w:ascii="Ericsson Hilda Light" w:hAnsi="Ericsson Hilda Light" w:hint="default"/>
      </w:rPr>
    </w:lvl>
    <w:lvl w:ilvl="8" w:tplc="60CCF478"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7FCA2CF2"/>
    <w:multiLevelType w:val="hybridMultilevel"/>
    <w:tmpl w:val="D68C3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1"/>
  </w:num>
  <w:num w:numId="3">
    <w:abstractNumId w:val="13"/>
  </w:num>
  <w:num w:numId="4">
    <w:abstractNumId w:val="14"/>
  </w:num>
  <w:num w:numId="5">
    <w:abstractNumId w:val="9"/>
  </w:num>
  <w:num w:numId="6">
    <w:abstractNumId w:val="20"/>
  </w:num>
  <w:num w:numId="7">
    <w:abstractNumId w:val="26"/>
  </w:num>
  <w:num w:numId="8">
    <w:abstractNumId w:val="10"/>
  </w:num>
  <w:num w:numId="9">
    <w:abstractNumId w:val="8"/>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7"/>
  </w:num>
  <w:num w:numId="17">
    <w:abstractNumId w:val="6"/>
  </w:num>
  <w:num w:numId="18">
    <w:abstractNumId w:val="7"/>
  </w:num>
  <w:num w:numId="19">
    <w:abstractNumId w:val="4"/>
  </w:num>
  <w:num w:numId="20">
    <w:abstractNumId w:val="30"/>
  </w:num>
  <w:num w:numId="21">
    <w:abstractNumId w:val="11"/>
  </w:num>
  <w:num w:numId="22">
    <w:abstractNumId w:val="29"/>
  </w:num>
  <w:num w:numId="23">
    <w:abstractNumId w:val="25"/>
  </w:num>
  <w:num w:numId="24">
    <w:abstractNumId w:val="5"/>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1"/>
  </w:num>
  <w:num w:numId="29">
    <w:abstractNumId w:val="32"/>
  </w:num>
  <w:num w:numId="30">
    <w:abstractNumId w:val="15"/>
  </w:num>
  <w:num w:numId="31">
    <w:abstractNumId w:val="24"/>
  </w:num>
  <w:num w:numId="32">
    <w:abstractNumId w:val="33"/>
  </w:num>
  <w:num w:numId="33">
    <w:abstractNumId w:val="16"/>
  </w:num>
  <w:num w:numId="34">
    <w:abstractNumId w:val="18"/>
  </w:num>
  <w:num w:numId="35">
    <w:abstractNumId w:val="17"/>
  </w:num>
  <w:num w:numId="36">
    <w:abstractNumId w:val="28"/>
  </w:num>
  <w:num w:numId="3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fi-FI" w:vendorID="64" w:dllVersion="0" w:nlCheck="1" w:checkStyle="0"/>
  <w:activeWritingStyle w:appName="MSWord" w:lang="sv-SE"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2A37"/>
    <w:rsid w:val="0000564C"/>
    <w:rsid w:val="00006446"/>
    <w:rsid w:val="00006896"/>
    <w:rsid w:val="00007CDC"/>
    <w:rsid w:val="00011B28"/>
    <w:rsid w:val="00013999"/>
    <w:rsid w:val="00015D15"/>
    <w:rsid w:val="00016F64"/>
    <w:rsid w:val="0002564D"/>
    <w:rsid w:val="00025ECA"/>
    <w:rsid w:val="00026F23"/>
    <w:rsid w:val="000325B8"/>
    <w:rsid w:val="00034C15"/>
    <w:rsid w:val="00034E1F"/>
    <w:rsid w:val="00035AA5"/>
    <w:rsid w:val="00035C3E"/>
    <w:rsid w:val="00036BA1"/>
    <w:rsid w:val="000422E2"/>
    <w:rsid w:val="00042F22"/>
    <w:rsid w:val="00043D1D"/>
    <w:rsid w:val="000444EF"/>
    <w:rsid w:val="00047E04"/>
    <w:rsid w:val="000501B8"/>
    <w:rsid w:val="000522D8"/>
    <w:rsid w:val="00052A07"/>
    <w:rsid w:val="000534E3"/>
    <w:rsid w:val="00053A03"/>
    <w:rsid w:val="0005606A"/>
    <w:rsid w:val="00057117"/>
    <w:rsid w:val="000616E7"/>
    <w:rsid w:val="00062022"/>
    <w:rsid w:val="00062075"/>
    <w:rsid w:val="0006436F"/>
    <w:rsid w:val="0006487E"/>
    <w:rsid w:val="00065E1A"/>
    <w:rsid w:val="00066BCE"/>
    <w:rsid w:val="00077116"/>
    <w:rsid w:val="000779F1"/>
    <w:rsid w:val="00077E5F"/>
    <w:rsid w:val="00077F90"/>
    <w:rsid w:val="0008036A"/>
    <w:rsid w:val="00081AE6"/>
    <w:rsid w:val="00084411"/>
    <w:rsid w:val="000855EB"/>
    <w:rsid w:val="00085B52"/>
    <w:rsid w:val="000866F2"/>
    <w:rsid w:val="00087C8C"/>
    <w:rsid w:val="0009009F"/>
    <w:rsid w:val="00091557"/>
    <w:rsid w:val="000924C1"/>
    <w:rsid w:val="000924F0"/>
    <w:rsid w:val="00093474"/>
    <w:rsid w:val="0009510F"/>
    <w:rsid w:val="000A1B7B"/>
    <w:rsid w:val="000A2A12"/>
    <w:rsid w:val="000A56F2"/>
    <w:rsid w:val="000B2719"/>
    <w:rsid w:val="000B3A8F"/>
    <w:rsid w:val="000B3C1E"/>
    <w:rsid w:val="000B4AB9"/>
    <w:rsid w:val="000B58C3"/>
    <w:rsid w:val="000B61E9"/>
    <w:rsid w:val="000B7FDD"/>
    <w:rsid w:val="000C165A"/>
    <w:rsid w:val="000C2E19"/>
    <w:rsid w:val="000C71C5"/>
    <w:rsid w:val="000D0D07"/>
    <w:rsid w:val="000D4797"/>
    <w:rsid w:val="000D6CB4"/>
    <w:rsid w:val="000E0527"/>
    <w:rsid w:val="000E0D95"/>
    <w:rsid w:val="000E1E92"/>
    <w:rsid w:val="000E2DD1"/>
    <w:rsid w:val="000F06D6"/>
    <w:rsid w:val="000F0EB1"/>
    <w:rsid w:val="000F1106"/>
    <w:rsid w:val="000F3BE9"/>
    <w:rsid w:val="000F3F6C"/>
    <w:rsid w:val="000F4C34"/>
    <w:rsid w:val="000F6DF3"/>
    <w:rsid w:val="001005FF"/>
    <w:rsid w:val="001015C3"/>
    <w:rsid w:val="00104C93"/>
    <w:rsid w:val="001062FB"/>
    <w:rsid w:val="001063E6"/>
    <w:rsid w:val="0010665A"/>
    <w:rsid w:val="00110921"/>
    <w:rsid w:val="00110F69"/>
    <w:rsid w:val="00111D93"/>
    <w:rsid w:val="00113CF4"/>
    <w:rsid w:val="001153EA"/>
    <w:rsid w:val="00115643"/>
    <w:rsid w:val="00116765"/>
    <w:rsid w:val="001219F5"/>
    <w:rsid w:val="00121A20"/>
    <w:rsid w:val="0012377F"/>
    <w:rsid w:val="00124314"/>
    <w:rsid w:val="00126B4A"/>
    <w:rsid w:val="0013108D"/>
    <w:rsid w:val="00132FD0"/>
    <w:rsid w:val="001344C0"/>
    <w:rsid w:val="001346FA"/>
    <w:rsid w:val="00135252"/>
    <w:rsid w:val="00137AB5"/>
    <w:rsid w:val="00137F0B"/>
    <w:rsid w:val="00140729"/>
    <w:rsid w:val="00147B35"/>
    <w:rsid w:val="00151E23"/>
    <w:rsid w:val="001526E0"/>
    <w:rsid w:val="001551B5"/>
    <w:rsid w:val="00157AB4"/>
    <w:rsid w:val="001600B5"/>
    <w:rsid w:val="0016151A"/>
    <w:rsid w:val="001659C1"/>
    <w:rsid w:val="00166EF4"/>
    <w:rsid w:val="00173A8E"/>
    <w:rsid w:val="0017502C"/>
    <w:rsid w:val="001766C9"/>
    <w:rsid w:val="0018143F"/>
    <w:rsid w:val="00181FF8"/>
    <w:rsid w:val="00182BD7"/>
    <w:rsid w:val="00183043"/>
    <w:rsid w:val="00187FCD"/>
    <w:rsid w:val="00190AC1"/>
    <w:rsid w:val="0019341A"/>
    <w:rsid w:val="00195A7D"/>
    <w:rsid w:val="00197DF9"/>
    <w:rsid w:val="001A1987"/>
    <w:rsid w:val="001A2564"/>
    <w:rsid w:val="001A51C5"/>
    <w:rsid w:val="001A6173"/>
    <w:rsid w:val="001A6CBA"/>
    <w:rsid w:val="001B0D97"/>
    <w:rsid w:val="001B5A5D"/>
    <w:rsid w:val="001C0797"/>
    <w:rsid w:val="001C19F3"/>
    <w:rsid w:val="001C1CE5"/>
    <w:rsid w:val="001C3D2A"/>
    <w:rsid w:val="001C6C45"/>
    <w:rsid w:val="001D2643"/>
    <w:rsid w:val="001D4EC5"/>
    <w:rsid w:val="001D51BA"/>
    <w:rsid w:val="001D53E7"/>
    <w:rsid w:val="001D5AA8"/>
    <w:rsid w:val="001D6342"/>
    <w:rsid w:val="001D6D53"/>
    <w:rsid w:val="001D7750"/>
    <w:rsid w:val="001D781A"/>
    <w:rsid w:val="001E4CC7"/>
    <w:rsid w:val="001E508A"/>
    <w:rsid w:val="001E55C2"/>
    <w:rsid w:val="001E58E2"/>
    <w:rsid w:val="001E7AED"/>
    <w:rsid w:val="001F0444"/>
    <w:rsid w:val="001F3916"/>
    <w:rsid w:val="001F54C5"/>
    <w:rsid w:val="001F662C"/>
    <w:rsid w:val="001F7074"/>
    <w:rsid w:val="001F7428"/>
    <w:rsid w:val="00200490"/>
    <w:rsid w:val="00201748"/>
    <w:rsid w:val="00201F3A"/>
    <w:rsid w:val="00203F96"/>
    <w:rsid w:val="002069B2"/>
    <w:rsid w:val="00207FA3"/>
    <w:rsid w:val="00211788"/>
    <w:rsid w:val="00214DA8"/>
    <w:rsid w:val="00215423"/>
    <w:rsid w:val="002158FA"/>
    <w:rsid w:val="00220600"/>
    <w:rsid w:val="002224DB"/>
    <w:rsid w:val="00223FCB"/>
    <w:rsid w:val="0022440A"/>
    <w:rsid w:val="002252C3"/>
    <w:rsid w:val="00225C54"/>
    <w:rsid w:val="00230765"/>
    <w:rsid w:val="00230D18"/>
    <w:rsid w:val="002319E4"/>
    <w:rsid w:val="002335D4"/>
    <w:rsid w:val="00235632"/>
    <w:rsid w:val="00235872"/>
    <w:rsid w:val="00241559"/>
    <w:rsid w:val="002435B3"/>
    <w:rsid w:val="0024522F"/>
    <w:rsid w:val="002458EB"/>
    <w:rsid w:val="002467F6"/>
    <w:rsid w:val="002500C8"/>
    <w:rsid w:val="002547EA"/>
    <w:rsid w:val="00257543"/>
    <w:rsid w:val="002604FD"/>
    <w:rsid w:val="002617E7"/>
    <w:rsid w:val="00264228"/>
    <w:rsid w:val="00264334"/>
    <w:rsid w:val="0026473E"/>
    <w:rsid w:val="00266214"/>
    <w:rsid w:val="00267C83"/>
    <w:rsid w:val="00270CA5"/>
    <w:rsid w:val="0027144F"/>
    <w:rsid w:val="00271813"/>
    <w:rsid w:val="00271F3A"/>
    <w:rsid w:val="00273278"/>
    <w:rsid w:val="002737F4"/>
    <w:rsid w:val="00275090"/>
    <w:rsid w:val="002805F5"/>
    <w:rsid w:val="00280751"/>
    <w:rsid w:val="0028280A"/>
    <w:rsid w:val="00286ACD"/>
    <w:rsid w:val="00287838"/>
    <w:rsid w:val="00287F17"/>
    <w:rsid w:val="002907B5"/>
    <w:rsid w:val="002907B7"/>
    <w:rsid w:val="00292EB7"/>
    <w:rsid w:val="00296227"/>
    <w:rsid w:val="00296F44"/>
    <w:rsid w:val="0029777D"/>
    <w:rsid w:val="002A055E"/>
    <w:rsid w:val="002A1D4E"/>
    <w:rsid w:val="002A2869"/>
    <w:rsid w:val="002B24D6"/>
    <w:rsid w:val="002C0898"/>
    <w:rsid w:val="002C35E3"/>
    <w:rsid w:val="002C41E6"/>
    <w:rsid w:val="002C7DB8"/>
    <w:rsid w:val="002D071A"/>
    <w:rsid w:val="002D34B2"/>
    <w:rsid w:val="002D48B0"/>
    <w:rsid w:val="002D5B37"/>
    <w:rsid w:val="002D7637"/>
    <w:rsid w:val="002E17F2"/>
    <w:rsid w:val="002E7CAE"/>
    <w:rsid w:val="002F2771"/>
    <w:rsid w:val="002F3165"/>
    <w:rsid w:val="002F37A9"/>
    <w:rsid w:val="002F43C2"/>
    <w:rsid w:val="00300B79"/>
    <w:rsid w:val="00301CE6"/>
    <w:rsid w:val="003022D8"/>
    <w:rsid w:val="0030256B"/>
    <w:rsid w:val="00302B74"/>
    <w:rsid w:val="0030501F"/>
    <w:rsid w:val="00307BA1"/>
    <w:rsid w:val="00311702"/>
    <w:rsid w:val="00311E82"/>
    <w:rsid w:val="00313FD6"/>
    <w:rsid w:val="003143BD"/>
    <w:rsid w:val="00315363"/>
    <w:rsid w:val="003203ED"/>
    <w:rsid w:val="00322C9F"/>
    <w:rsid w:val="00324D23"/>
    <w:rsid w:val="00325509"/>
    <w:rsid w:val="00331751"/>
    <w:rsid w:val="00332CA8"/>
    <w:rsid w:val="00333676"/>
    <w:rsid w:val="00334579"/>
    <w:rsid w:val="00335858"/>
    <w:rsid w:val="00336BDA"/>
    <w:rsid w:val="00337F19"/>
    <w:rsid w:val="00342BD7"/>
    <w:rsid w:val="00343A59"/>
    <w:rsid w:val="00343CD6"/>
    <w:rsid w:val="00346DB5"/>
    <w:rsid w:val="003477B1"/>
    <w:rsid w:val="0035484B"/>
    <w:rsid w:val="00357380"/>
    <w:rsid w:val="003602D9"/>
    <w:rsid w:val="003604CE"/>
    <w:rsid w:val="00363FAD"/>
    <w:rsid w:val="0036489A"/>
    <w:rsid w:val="00370E47"/>
    <w:rsid w:val="003742AC"/>
    <w:rsid w:val="00377CE1"/>
    <w:rsid w:val="0038241C"/>
    <w:rsid w:val="00382F58"/>
    <w:rsid w:val="003833FF"/>
    <w:rsid w:val="00383CC2"/>
    <w:rsid w:val="00383D3A"/>
    <w:rsid w:val="00385BF0"/>
    <w:rsid w:val="003871BA"/>
    <w:rsid w:val="003939FF"/>
    <w:rsid w:val="003A180D"/>
    <w:rsid w:val="003A1F26"/>
    <w:rsid w:val="003A2223"/>
    <w:rsid w:val="003A2A0F"/>
    <w:rsid w:val="003A45A1"/>
    <w:rsid w:val="003A5B0A"/>
    <w:rsid w:val="003A6BAC"/>
    <w:rsid w:val="003A70A4"/>
    <w:rsid w:val="003A7EF3"/>
    <w:rsid w:val="003B159C"/>
    <w:rsid w:val="003B3593"/>
    <w:rsid w:val="003B369F"/>
    <w:rsid w:val="003B36A3"/>
    <w:rsid w:val="003B64BB"/>
    <w:rsid w:val="003B7FE5"/>
    <w:rsid w:val="003C004B"/>
    <w:rsid w:val="003C0BC9"/>
    <w:rsid w:val="003C11C8"/>
    <w:rsid w:val="003C1CAD"/>
    <w:rsid w:val="003C2702"/>
    <w:rsid w:val="003C41B8"/>
    <w:rsid w:val="003C7806"/>
    <w:rsid w:val="003D109F"/>
    <w:rsid w:val="003D2478"/>
    <w:rsid w:val="003D3C45"/>
    <w:rsid w:val="003D5B1F"/>
    <w:rsid w:val="003D773A"/>
    <w:rsid w:val="003E15FA"/>
    <w:rsid w:val="003E5112"/>
    <w:rsid w:val="003E55E4"/>
    <w:rsid w:val="003E74E3"/>
    <w:rsid w:val="003F05C7"/>
    <w:rsid w:val="003F2CD4"/>
    <w:rsid w:val="003F6BBE"/>
    <w:rsid w:val="004000E8"/>
    <w:rsid w:val="00400AE3"/>
    <w:rsid w:val="004020F6"/>
    <w:rsid w:val="00402E2B"/>
    <w:rsid w:val="0040512B"/>
    <w:rsid w:val="004054BF"/>
    <w:rsid w:val="00405CA5"/>
    <w:rsid w:val="00407CD3"/>
    <w:rsid w:val="00410134"/>
    <w:rsid w:val="00410B72"/>
    <w:rsid w:val="00410F18"/>
    <w:rsid w:val="00411B61"/>
    <w:rsid w:val="0041263E"/>
    <w:rsid w:val="00413AAC"/>
    <w:rsid w:val="00413B5A"/>
    <w:rsid w:val="00413E92"/>
    <w:rsid w:val="00421105"/>
    <w:rsid w:val="00422AA4"/>
    <w:rsid w:val="00422CE4"/>
    <w:rsid w:val="004242F4"/>
    <w:rsid w:val="00427248"/>
    <w:rsid w:val="00432448"/>
    <w:rsid w:val="00432DDC"/>
    <w:rsid w:val="00437447"/>
    <w:rsid w:val="00441084"/>
    <w:rsid w:val="00441A92"/>
    <w:rsid w:val="00442DC9"/>
    <w:rsid w:val="004431DC"/>
    <w:rsid w:val="00443FD9"/>
    <w:rsid w:val="00444F56"/>
    <w:rsid w:val="00446055"/>
    <w:rsid w:val="00446488"/>
    <w:rsid w:val="00450EA9"/>
    <w:rsid w:val="004517AA"/>
    <w:rsid w:val="00452CAC"/>
    <w:rsid w:val="00457565"/>
    <w:rsid w:val="00457B71"/>
    <w:rsid w:val="004619F4"/>
    <w:rsid w:val="0046692D"/>
    <w:rsid w:val="004669E2"/>
    <w:rsid w:val="00470C31"/>
    <w:rsid w:val="00471DCB"/>
    <w:rsid w:val="00471DE0"/>
    <w:rsid w:val="00472219"/>
    <w:rsid w:val="004734D0"/>
    <w:rsid w:val="0047556B"/>
    <w:rsid w:val="00477768"/>
    <w:rsid w:val="00485343"/>
    <w:rsid w:val="004865DB"/>
    <w:rsid w:val="00492BC5"/>
    <w:rsid w:val="00493FB0"/>
    <w:rsid w:val="00494539"/>
    <w:rsid w:val="004964F1"/>
    <w:rsid w:val="00496571"/>
    <w:rsid w:val="004A16BC"/>
    <w:rsid w:val="004A2B94"/>
    <w:rsid w:val="004A4E9E"/>
    <w:rsid w:val="004A6627"/>
    <w:rsid w:val="004B298D"/>
    <w:rsid w:val="004B3292"/>
    <w:rsid w:val="004B5D60"/>
    <w:rsid w:val="004B6F6A"/>
    <w:rsid w:val="004B7C0C"/>
    <w:rsid w:val="004C3898"/>
    <w:rsid w:val="004C64CE"/>
    <w:rsid w:val="004D19BD"/>
    <w:rsid w:val="004D36B1"/>
    <w:rsid w:val="004D5E3F"/>
    <w:rsid w:val="004D7EBD"/>
    <w:rsid w:val="004E2680"/>
    <w:rsid w:val="004E28F9"/>
    <w:rsid w:val="004E462E"/>
    <w:rsid w:val="004E56DC"/>
    <w:rsid w:val="004E76F4"/>
    <w:rsid w:val="004F0B4E"/>
    <w:rsid w:val="004F0B6C"/>
    <w:rsid w:val="004F2078"/>
    <w:rsid w:val="004F4D0D"/>
    <w:rsid w:val="004F4DA3"/>
    <w:rsid w:val="004F6310"/>
    <w:rsid w:val="004F6AC0"/>
    <w:rsid w:val="0050005B"/>
    <w:rsid w:val="00501211"/>
    <w:rsid w:val="005037E6"/>
    <w:rsid w:val="00506557"/>
    <w:rsid w:val="0050677A"/>
    <w:rsid w:val="00510319"/>
    <w:rsid w:val="005108D8"/>
    <w:rsid w:val="005116F9"/>
    <w:rsid w:val="00514487"/>
    <w:rsid w:val="005153A7"/>
    <w:rsid w:val="005219CF"/>
    <w:rsid w:val="00523B08"/>
    <w:rsid w:val="00533F5E"/>
    <w:rsid w:val="00534B59"/>
    <w:rsid w:val="0053503B"/>
    <w:rsid w:val="00536759"/>
    <w:rsid w:val="00537C62"/>
    <w:rsid w:val="00540FAE"/>
    <w:rsid w:val="00544286"/>
    <w:rsid w:val="00546970"/>
    <w:rsid w:val="0054785A"/>
    <w:rsid w:val="005511BD"/>
    <w:rsid w:val="00554E19"/>
    <w:rsid w:val="0056121F"/>
    <w:rsid w:val="00562714"/>
    <w:rsid w:val="00564DB2"/>
    <w:rsid w:val="0056572E"/>
    <w:rsid w:val="00566E4B"/>
    <w:rsid w:val="00567516"/>
    <w:rsid w:val="00570C94"/>
    <w:rsid w:val="00572505"/>
    <w:rsid w:val="005750A2"/>
    <w:rsid w:val="005754EE"/>
    <w:rsid w:val="00580646"/>
    <w:rsid w:val="005816E6"/>
    <w:rsid w:val="0058193A"/>
    <w:rsid w:val="00582809"/>
    <w:rsid w:val="00582B55"/>
    <w:rsid w:val="0058798C"/>
    <w:rsid w:val="005900FA"/>
    <w:rsid w:val="005935A4"/>
    <w:rsid w:val="005948C2"/>
    <w:rsid w:val="00595981"/>
    <w:rsid w:val="00595DCA"/>
    <w:rsid w:val="0059779B"/>
    <w:rsid w:val="005A209A"/>
    <w:rsid w:val="005A5A7B"/>
    <w:rsid w:val="005A662D"/>
    <w:rsid w:val="005A6A05"/>
    <w:rsid w:val="005B1409"/>
    <w:rsid w:val="005B157D"/>
    <w:rsid w:val="005B35D7"/>
    <w:rsid w:val="005B392A"/>
    <w:rsid w:val="005B3AA3"/>
    <w:rsid w:val="005B6F83"/>
    <w:rsid w:val="005B7B85"/>
    <w:rsid w:val="005C74FB"/>
    <w:rsid w:val="005C7658"/>
    <w:rsid w:val="005D1602"/>
    <w:rsid w:val="005D49EC"/>
    <w:rsid w:val="005E385F"/>
    <w:rsid w:val="005E5B81"/>
    <w:rsid w:val="005F28FC"/>
    <w:rsid w:val="005F2CB1"/>
    <w:rsid w:val="005F3025"/>
    <w:rsid w:val="005F5574"/>
    <w:rsid w:val="005F5F16"/>
    <w:rsid w:val="005F618C"/>
    <w:rsid w:val="005F70BD"/>
    <w:rsid w:val="00601C34"/>
    <w:rsid w:val="0060283C"/>
    <w:rsid w:val="00604D6B"/>
    <w:rsid w:val="00604F14"/>
    <w:rsid w:val="00606706"/>
    <w:rsid w:val="00607B44"/>
    <w:rsid w:val="006100FD"/>
    <w:rsid w:val="00611B83"/>
    <w:rsid w:val="00613257"/>
    <w:rsid w:val="00615344"/>
    <w:rsid w:val="0061553B"/>
    <w:rsid w:val="00615E65"/>
    <w:rsid w:val="00620802"/>
    <w:rsid w:val="00620A71"/>
    <w:rsid w:val="00620D80"/>
    <w:rsid w:val="00620EC9"/>
    <w:rsid w:val="006234A6"/>
    <w:rsid w:val="00630001"/>
    <w:rsid w:val="006311B3"/>
    <w:rsid w:val="0063284C"/>
    <w:rsid w:val="00636398"/>
    <w:rsid w:val="006368D3"/>
    <w:rsid w:val="00636E69"/>
    <w:rsid w:val="006377EC"/>
    <w:rsid w:val="0064151F"/>
    <w:rsid w:val="00641533"/>
    <w:rsid w:val="0064208D"/>
    <w:rsid w:val="00643475"/>
    <w:rsid w:val="0064396A"/>
    <w:rsid w:val="00644256"/>
    <w:rsid w:val="006442A7"/>
    <w:rsid w:val="0064624E"/>
    <w:rsid w:val="00646696"/>
    <w:rsid w:val="00650AB9"/>
    <w:rsid w:val="006525ED"/>
    <w:rsid w:val="006550EF"/>
    <w:rsid w:val="00655733"/>
    <w:rsid w:val="00655ACD"/>
    <w:rsid w:val="00656111"/>
    <w:rsid w:val="00656A92"/>
    <w:rsid w:val="00656B22"/>
    <w:rsid w:val="00656DDE"/>
    <w:rsid w:val="0066011D"/>
    <w:rsid w:val="006607C0"/>
    <w:rsid w:val="00660D7F"/>
    <w:rsid w:val="006613A6"/>
    <w:rsid w:val="006627A2"/>
    <w:rsid w:val="006634E6"/>
    <w:rsid w:val="006647DB"/>
    <w:rsid w:val="006655EE"/>
    <w:rsid w:val="00667EE7"/>
    <w:rsid w:val="00670922"/>
    <w:rsid w:val="00670A0A"/>
    <w:rsid w:val="00670BE1"/>
    <w:rsid w:val="0067218F"/>
    <w:rsid w:val="00672554"/>
    <w:rsid w:val="00672C15"/>
    <w:rsid w:val="006741F2"/>
    <w:rsid w:val="00674CC3"/>
    <w:rsid w:val="00675C72"/>
    <w:rsid w:val="006771F9"/>
    <w:rsid w:val="006776D7"/>
    <w:rsid w:val="00681003"/>
    <w:rsid w:val="006817C9"/>
    <w:rsid w:val="00683ECE"/>
    <w:rsid w:val="00684158"/>
    <w:rsid w:val="0068517D"/>
    <w:rsid w:val="006950FC"/>
    <w:rsid w:val="00695FC2"/>
    <w:rsid w:val="00696949"/>
    <w:rsid w:val="00697052"/>
    <w:rsid w:val="006A46FB"/>
    <w:rsid w:val="006A5E28"/>
    <w:rsid w:val="006A697B"/>
    <w:rsid w:val="006A6E35"/>
    <w:rsid w:val="006A7AFF"/>
    <w:rsid w:val="006B1256"/>
    <w:rsid w:val="006B1816"/>
    <w:rsid w:val="006B2099"/>
    <w:rsid w:val="006B50CF"/>
    <w:rsid w:val="006C03B8"/>
    <w:rsid w:val="006C3560"/>
    <w:rsid w:val="006C554C"/>
    <w:rsid w:val="006C5EC9"/>
    <w:rsid w:val="006C6059"/>
    <w:rsid w:val="006C7522"/>
    <w:rsid w:val="006D2B99"/>
    <w:rsid w:val="006D6AD4"/>
    <w:rsid w:val="006D6F08"/>
    <w:rsid w:val="006E062C"/>
    <w:rsid w:val="006E1C82"/>
    <w:rsid w:val="006E221B"/>
    <w:rsid w:val="006E28B7"/>
    <w:rsid w:val="006E2A9B"/>
    <w:rsid w:val="006E3310"/>
    <w:rsid w:val="006E4E39"/>
    <w:rsid w:val="006E565E"/>
    <w:rsid w:val="006E673D"/>
    <w:rsid w:val="006E7D3B"/>
    <w:rsid w:val="006F1B70"/>
    <w:rsid w:val="006F341D"/>
    <w:rsid w:val="006F3CDE"/>
    <w:rsid w:val="006F58D4"/>
    <w:rsid w:val="006F5955"/>
    <w:rsid w:val="006F6582"/>
    <w:rsid w:val="0070346E"/>
    <w:rsid w:val="00704EDB"/>
    <w:rsid w:val="00705B5E"/>
    <w:rsid w:val="00706101"/>
    <w:rsid w:val="00706405"/>
    <w:rsid w:val="00707072"/>
    <w:rsid w:val="00707D61"/>
    <w:rsid w:val="007107A2"/>
    <w:rsid w:val="00712287"/>
    <w:rsid w:val="00712772"/>
    <w:rsid w:val="007148D3"/>
    <w:rsid w:val="00715B9A"/>
    <w:rsid w:val="00721D13"/>
    <w:rsid w:val="00723F35"/>
    <w:rsid w:val="007257D0"/>
    <w:rsid w:val="00726EA6"/>
    <w:rsid w:val="00727208"/>
    <w:rsid w:val="00727680"/>
    <w:rsid w:val="007331AC"/>
    <w:rsid w:val="007348B1"/>
    <w:rsid w:val="00734E40"/>
    <w:rsid w:val="007362A6"/>
    <w:rsid w:val="00736D7D"/>
    <w:rsid w:val="00740E58"/>
    <w:rsid w:val="007445A0"/>
    <w:rsid w:val="0074524B"/>
    <w:rsid w:val="00746746"/>
    <w:rsid w:val="00747D8B"/>
    <w:rsid w:val="00747E67"/>
    <w:rsid w:val="00751228"/>
    <w:rsid w:val="0075482B"/>
    <w:rsid w:val="007571E1"/>
    <w:rsid w:val="00757A16"/>
    <w:rsid w:val="007604B2"/>
    <w:rsid w:val="00760E0B"/>
    <w:rsid w:val="00765281"/>
    <w:rsid w:val="00766BAD"/>
    <w:rsid w:val="007729A2"/>
    <w:rsid w:val="0077324D"/>
    <w:rsid w:val="007736C8"/>
    <w:rsid w:val="007741C4"/>
    <w:rsid w:val="00774980"/>
    <w:rsid w:val="007755F2"/>
    <w:rsid w:val="00776923"/>
    <w:rsid w:val="00776971"/>
    <w:rsid w:val="0077702A"/>
    <w:rsid w:val="00780A80"/>
    <w:rsid w:val="00781406"/>
    <w:rsid w:val="0078177E"/>
    <w:rsid w:val="00782680"/>
    <w:rsid w:val="0078304C"/>
    <w:rsid w:val="0078306D"/>
    <w:rsid w:val="00783673"/>
    <w:rsid w:val="00784339"/>
    <w:rsid w:val="00785490"/>
    <w:rsid w:val="00792155"/>
    <w:rsid w:val="007925EA"/>
    <w:rsid w:val="00793B73"/>
    <w:rsid w:val="00793CD8"/>
    <w:rsid w:val="00794BA7"/>
    <w:rsid w:val="0079594B"/>
    <w:rsid w:val="00795C92"/>
    <w:rsid w:val="00796231"/>
    <w:rsid w:val="007A1CB3"/>
    <w:rsid w:val="007A306F"/>
    <w:rsid w:val="007A43A6"/>
    <w:rsid w:val="007A58A6"/>
    <w:rsid w:val="007B2475"/>
    <w:rsid w:val="007B36E5"/>
    <w:rsid w:val="007B393A"/>
    <w:rsid w:val="007B3D2D"/>
    <w:rsid w:val="007B50AE"/>
    <w:rsid w:val="007B51DF"/>
    <w:rsid w:val="007B54E4"/>
    <w:rsid w:val="007C05DD"/>
    <w:rsid w:val="007C3843"/>
    <w:rsid w:val="007C3D18"/>
    <w:rsid w:val="007C4830"/>
    <w:rsid w:val="007C60BF"/>
    <w:rsid w:val="007C6A07"/>
    <w:rsid w:val="007C75A1"/>
    <w:rsid w:val="007C77A5"/>
    <w:rsid w:val="007D04E5"/>
    <w:rsid w:val="007D2461"/>
    <w:rsid w:val="007D5901"/>
    <w:rsid w:val="007D7526"/>
    <w:rsid w:val="007E4610"/>
    <w:rsid w:val="007E4715"/>
    <w:rsid w:val="007E505B"/>
    <w:rsid w:val="007E6064"/>
    <w:rsid w:val="007E7091"/>
    <w:rsid w:val="007F528E"/>
    <w:rsid w:val="00803AB4"/>
    <w:rsid w:val="00803FAE"/>
    <w:rsid w:val="00804C10"/>
    <w:rsid w:val="0080605F"/>
    <w:rsid w:val="00807786"/>
    <w:rsid w:val="00810B91"/>
    <w:rsid w:val="00811FCB"/>
    <w:rsid w:val="008130D3"/>
    <w:rsid w:val="00813B4B"/>
    <w:rsid w:val="008158D6"/>
    <w:rsid w:val="008167C1"/>
    <w:rsid w:val="00817196"/>
    <w:rsid w:val="008235DB"/>
    <w:rsid w:val="00824AB4"/>
    <w:rsid w:val="00825C42"/>
    <w:rsid w:val="00825D25"/>
    <w:rsid w:val="00827D6F"/>
    <w:rsid w:val="00835F55"/>
    <w:rsid w:val="00836932"/>
    <w:rsid w:val="008376AC"/>
    <w:rsid w:val="00841446"/>
    <w:rsid w:val="008444E8"/>
    <w:rsid w:val="00844E80"/>
    <w:rsid w:val="00844EB2"/>
    <w:rsid w:val="00845345"/>
    <w:rsid w:val="00846FE7"/>
    <w:rsid w:val="0085324D"/>
    <w:rsid w:val="0085420F"/>
    <w:rsid w:val="008567FC"/>
    <w:rsid w:val="00856911"/>
    <w:rsid w:val="0086208E"/>
    <w:rsid w:val="008677FD"/>
    <w:rsid w:val="008706D4"/>
    <w:rsid w:val="00870F8A"/>
    <w:rsid w:val="008719A4"/>
    <w:rsid w:val="00871D23"/>
    <w:rsid w:val="00874312"/>
    <w:rsid w:val="0087437C"/>
    <w:rsid w:val="0087465B"/>
    <w:rsid w:val="0087588E"/>
    <w:rsid w:val="00875CD7"/>
    <w:rsid w:val="00876B4D"/>
    <w:rsid w:val="00877F18"/>
    <w:rsid w:val="00885DEB"/>
    <w:rsid w:val="008941E3"/>
    <w:rsid w:val="00894A88"/>
    <w:rsid w:val="00894C11"/>
    <w:rsid w:val="00895386"/>
    <w:rsid w:val="008A17D7"/>
    <w:rsid w:val="008A21FF"/>
    <w:rsid w:val="008A2CE2"/>
    <w:rsid w:val="008A30AC"/>
    <w:rsid w:val="008A44B8"/>
    <w:rsid w:val="008A51A8"/>
    <w:rsid w:val="008A54C7"/>
    <w:rsid w:val="008A5B04"/>
    <w:rsid w:val="008A77D8"/>
    <w:rsid w:val="008B0483"/>
    <w:rsid w:val="008B120C"/>
    <w:rsid w:val="008B50A7"/>
    <w:rsid w:val="008B51A0"/>
    <w:rsid w:val="008B592A"/>
    <w:rsid w:val="008B5CF5"/>
    <w:rsid w:val="008B7B5C"/>
    <w:rsid w:val="008C0C99"/>
    <w:rsid w:val="008C2017"/>
    <w:rsid w:val="008C237D"/>
    <w:rsid w:val="008C4958"/>
    <w:rsid w:val="008C4BAA"/>
    <w:rsid w:val="008C6AE8"/>
    <w:rsid w:val="008C7573"/>
    <w:rsid w:val="008D00A5"/>
    <w:rsid w:val="008D1154"/>
    <w:rsid w:val="008D34F1"/>
    <w:rsid w:val="008D39D8"/>
    <w:rsid w:val="008D4DB6"/>
    <w:rsid w:val="008D6D1A"/>
    <w:rsid w:val="008E065E"/>
    <w:rsid w:val="008E0927"/>
    <w:rsid w:val="008E1909"/>
    <w:rsid w:val="008E1F20"/>
    <w:rsid w:val="008F188A"/>
    <w:rsid w:val="008F1EAB"/>
    <w:rsid w:val="008F33DC"/>
    <w:rsid w:val="008F3FF7"/>
    <w:rsid w:val="008F477F"/>
    <w:rsid w:val="008F6A41"/>
    <w:rsid w:val="00901140"/>
    <w:rsid w:val="00902350"/>
    <w:rsid w:val="00902F0E"/>
    <w:rsid w:val="0090336B"/>
    <w:rsid w:val="00904EA4"/>
    <w:rsid w:val="009053AA"/>
    <w:rsid w:val="00906939"/>
    <w:rsid w:val="00906B47"/>
    <w:rsid w:val="00910B7D"/>
    <w:rsid w:val="00911DFB"/>
    <w:rsid w:val="009139D9"/>
    <w:rsid w:val="00914AD8"/>
    <w:rsid w:val="00915BED"/>
    <w:rsid w:val="00916079"/>
    <w:rsid w:val="00917CE9"/>
    <w:rsid w:val="00920BF2"/>
    <w:rsid w:val="0092181F"/>
    <w:rsid w:val="00922010"/>
    <w:rsid w:val="00924177"/>
    <w:rsid w:val="00930895"/>
    <w:rsid w:val="00931BD9"/>
    <w:rsid w:val="009368F3"/>
    <w:rsid w:val="00937F7D"/>
    <w:rsid w:val="00941636"/>
    <w:rsid w:val="00943742"/>
    <w:rsid w:val="00945C05"/>
    <w:rsid w:val="00946945"/>
    <w:rsid w:val="009475CB"/>
    <w:rsid w:val="00947713"/>
    <w:rsid w:val="00950120"/>
    <w:rsid w:val="00950DE7"/>
    <w:rsid w:val="00953920"/>
    <w:rsid w:val="00953D47"/>
    <w:rsid w:val="0095681E"/>
    <w:rsid w:val="009572D4"/>
    <w:rsid w:val="00961921"/>
    <w:rsid w:val="0096430A"/>
    <w:rsid w:val="0096554B"/>
    <w:rsid w:val="0096584A"/>
    <w:rsid w:val="00971F08"/>
    <w:rsid w:val="0097603D"/>
    <w:rsid w:val="00976949"/>
    <w:rsid w:val="00977508"/>
    <w:rsid w:val="00980477"/>
    <w:rsid w:val="00985253"/>
    <w:rsid w:val="009853B3"/>
    <w:rsid w:val="00990630"/>
    <w:rsid w:val="00991761"/>
    <w:rsid w:val="00994DCA"/>
    <w:rsid w:val="0099519C"/>
    <w:rsid w:val="00995918"/>
    <w:rsid w:val="009960EC"/>
    <w:rsid w:val="009970DD"/>
    <w:rsid w:val="00997231"/>
    <w:rsid w:val="009A0FBA"/>
    <w:rsid w:val="009A1601"/>
    <w:rsid w:val="009A3BB6"/>
    <w:rsid w:val="009A462D"/>
    <w:rsid w:val="009A58BC"/>
    <w:rsid w:val="009A5CBA"/>
    <w:rsid w:val="009B023E"/>
    <w:rsid w:val="009B1F30"/>
    <w:rsid w:val="009B3221"/>
    <w:rsid w:val="009B3AC2"/>
    <w:rsid w:val="009B4DF4"/>
    <w:rsid w:val="009B4E17"/>
    <w:rsid w:val="009B5150"/>
    <w:rsid w:val="009B564E"/>
    <w:rsid w:val="009B7E87"/>
    <w:rsid w:val="009B7F57"/>
    <w:rsid w:val="009C0169"/>
    <w:rsid w:val="009C0224"/>
    <w:rsid w:val="009C1694"/>
    <w:rsid w:val="009C394B"/>
    <w:rsid w:val="009C403E"/>
    <w:rsid w:val="009D1A6C"/>
    <w:rsid w:val="009D428B"/>
    <w:rsid w:val="009D4FF0"/>
    <w:rsid w:val="009D703C"/>
    <w:rsid w:val="009D718F"/>
    <w:rsid w:val="009E0195"/>
    <w:rsid w:val="009E068F"/>
    <w:rsid w:val="009E14E0"/>
    <w:rsid w:val="009E35DB"/>
    <w:rsid w:val="009E47A3"/>
    <w:rsid w:val="009E6550"/>
    <w:rsid w:val="009E6989"/>
    <w:rsid w:val="009F048A"/>
    <w:rsid w:val="009F06F9"/>
    <w:rsid w:val="009F08F3"/>
    <w:rsid w:val="009F1D81"/>
    <w:rsid w:val="009F344F"/>
    <w:rsid w:val="00A031D8"/>
    <w:rsid w:val="00A048A8"/>
    <w:rsid w:val="00A04F49"/>
    <w:rsid w:val="00A058DA"/>
    <w:rsid w:val="00A13E54"/>
    <w:rsid w:val="00A153F0"/>
    <w:rsid w:val="00A1564C"/>
    <w:rsid w:val="00A15FC6"/>
    <w:rsid w:val="00A17F63"/>
    <w:rsid w:val="00A2193B"/>
    <w:rsid w:val="00A2351A"/>
    <w:rsid w:val="00A248B4"/>
    <w:rsid w:val="00A264A9"/>
    <w:rsid w:val="00A26DCF"/>
    <w:rsid w:val="00A27463"/>
    <w:rsid w:val="00A2773C"/>
    <w:rsid w:val="00A27785"/>
    <w:rsid w:val="00A30187"/>
    <w:rsid w:val="00A32CBE"/>
    <w:rsid w:val="00A3448A"/>
    <w:rsid w:val="00A36297"/>
    <w:rsid w:val="00A41E2B"/>
    <w:rsid w:val="00A45B74"/>
    <w:rsid w:val="00A525BF"/>
    <w:rsid w:val="00A529B6"/>
    <w:rsid w:val="00A52E1D"/>
    <w:rsid w:val="00A53469"/>
    <w:rsid w:val="00A61499"/>
    <w:rsid w:val="00A6206E"/>
    <w:rsid w:val="00A62A77"/>
    <w:rsid w:val="00A63483"/>
    <w:rsid w:val="00A64F77"/>
    <w:rsid w:val="00A657D7"/>
    <w:rsid w:val="00A660AC"/>
    <w:rsid w:val="00A67E6C"/>
    <w:rsid w:val="00A71B99"/>
    <w:rsid w:val="00A739D0"/>
    <w:rsid w:val="00A7492F"/>
    <w:rsid w:val="00A761D4"/>
    <w:rsid w:val="00A77EC4"/>
    <w:rsid w:val="00A90614"/>
    <w:rsid w:val="00A92879"/>
    <w:rsid w:val="00A933E3"/>
    <w:rsid w:val="00A93E45"/>
    <w:rsid w:val="00A9442A"/>
    <w:rsid w:val="00AA016F"/>
    <w:rsid w:val="00AA1ED6"/>
    <w:rsid w:val="00AA51D6"/>
    <w:rsid w:val="00AB0BC8"/>
    <w:rsid w:val="00AB11CA"/>
    <w:rsid w:val="00AB14D9"/>
    <w:rsid w:val="00AB2B70"/>
    <w:rsid w:val="00AB4AB8"/>
    <w:rsid w:val="00AB655E"/>
    <w:rsid w:val="00AC007F"/>
    <w:rsid w:val="00AC2ECD"/>
    <w:rsid w:val="00AC3119"/>
    <w:rsid w:val="00AC4902"/>
    <w:rsid w:val="00AC49FB"/>
    <w:rsid w:val="00AC5A10"/>
    <w:rsid w:val="00AD05C7"/>
    <w:rsid w:val="00AD0662"/>
    <w:rsid w:val="00AD0AA3"/>
    <w:rsid w:val="00AD2091"/>
    <w:rsid w:val="00AD3F94"/>
    <w:rsid w:val="00AD4A5A"/>
    <w:rsid w:val="00AD532A"/>
    <w:rsid w:val="00AE033B"/>
    <w:rsid w:val="00AE27AC"/>
    <w:rsid w:val="00AE40E0"/>
    <w:rsid w:val="00AE4DBA"/>
    <w:rsid w:val="00AE4F07"/>
    <w:rsid w:val="00AE7F63"/>
    <w:rsid w:val="00AF1C5D"/>
    <w:rsid w:val="00AF42D7"/>
    <w:rsid w:val="00AF53CC"/>
    <w:rsid w:val="00B00241"/>
    <w:rsid w:val="00B006FE"/>
    <w:rsid w:val="00B007CB"/>
    <w:rsid w:val="00B02AA9"/>
    <w:rsid w:val="00B02FA3"/>
    <w:rsid w:val="00B05084"/>
    <w:rsid w:val="00B157F9"/>
    <w:rsid w:val="00B20256"/>
    <w:rsid w:val="00B20D09"/>
    <w:rsid w:val="00B22DC5"/>
    <w:rsid w:val="00B25019"/>
    <w:rsid w:val="00B26ADC"/>
    <w:rsid w:val="00B2763F"/>
    <w:rsid w:val="00B27AAC"/>
    <w:rsid w:val="00B30929"/>
    <w:rsid w:val="00B33775"/>
    <w:rsid w:val="00B34464"/>
    <w:rsid w:val="00B363EF"/>
    <w:rsid w:val="00B372AA"/>
    <w:rsid w:val="00B37CA6"/>
    <w:rsid w:val="00B40235"/>
    <w:rsid w:val="00B40445"/>
    <w:rsid w:val="00B409E0"/>
    <w:rsid w:val="00B41888"/>
    <w:rsid w:val="00B44958"/>
    <w:rsid w:val="00B45A52"/>
    <w:rsid w:val="00B46175"/>
    <w:rsid w:val="00B548B7"/>
    <w:rsid w:val="00B664C7"/>
    <w:rsid w:val="00B739F6"/>
    <w:rsid w:val="00B7731A"/>
    <w:rsid w:val="00B81A6C"/>
    <w:rsid w:val="00B81E02"/>
    <w:rsid w:val="00B84F36"/>
    <w:rsid w:val="00B85DE5"/>
    <w:rsid w:val="00B86C96"/>
    <w:rsid w:val="00B90F73"/>
    <w:rsid w:val="00B922AE"/>
    <w:rsid w:val="00B93B44"/>
    <w:rsid w:val="00B93B59"/>
    <w:rsid w:val="00B9406A"/>
    <w:rsid w:val="00BA2280"/>
    <w:rsid w:val="00BA2A08"/>
    <w:rsid w:val="00BA4BB8"/>
    <w:rsid w:val="00BA56D2"/>
    <w:rsid w:val="00BA76E0"/>
    <w:rsid w:val="00BB2A25"/>
    <w:rsid w:val="00BB4C48"/>
    <w:rsid w:val="00BB51E9"/>
    <w:rsid w:val="00BC0FDC"/>
    <w:rsid w:val="00BC3053"/>
    <w:rsid w:val="00BC4D2E"/>
    <w:rsid w:val="00BC68A5"/>
    <w:rsid w:val="00BD48AC"/>
    <w:rsid w:val="00BD5F1A"/>
    <w:rsid w:val="00BD6A4B"/>
    <w:rsid w:val="00BE1234"/>
    <w:rsid w:val="00BE2FA6"/>
    <w:rsid w:val="00BE333F"/>
    <w:rsid w:val="00BE7406"/>
    <w:rsid w:val="00BE7603"/>
    <w:rsid w:val="00BF3279"/>
    <w:rsid w:val="00BF3E14"/>
    <w:rsid w:val="00BF4EC5"/>
    <w:rsid w:val="00BF6D8C"/>
    <w:rsid w:val="00BF74C7"/>
    <w:rsid w:val="00BF7BC7"/>
    <w:rsid w:val="00C015F1"/>
    <w:rsid w:val="00C01F33"/>
    <w:rsid w:val="00C02CC6"/>
    <w:rsid w:val="00C034B3"/>
    <w:rsid w:val="00C040F7"/>
    <w:rsid w:val="00C044AB"/>
    <w:rsid w:val="00C05706"/>
    <w:rsid w:val="00C07377"/>
    <w:rsid w:val="00C0755B"/>
    <w:rsid w:val="00C07777"/>
    <w:rsid w:val="00C10478"/>
    <w:rsid w:val="00C12107"/>
    <w:rsid w:val="00C14D4B"/>
    <w:rsid w:val="00C154BB"/>
    <w:rsid w:val="00C17970"/>
    <w:rsid w:val="00C23CE9"/>
    <w:rsid w:val="00C24649"/>
    <w:rsid w:val="00C252FF"/>
    <w:rsid w:val="00C279B5"/>
    <w:rsid w:val="00C27C45"/>
    <w:rsid w:val="00C30E2C"/>
    <w:rsid w:val="00C3719D"/>
    <w:rsid w:val="00C37CB2"/>
    <w:rsid w:val="00C416D7"/>
    <w:rsid w:val="00C473A5"/>
    <w:rsid w:val="00C509A7"/>
    <w:rsid w:val="00C51DF9"/>
    <w:rsid w:val="00C54995"/>
    <w:rsid w:val="00C54D1E"/>
    <w:rsid w:val="00C54D41"/>
    <w:rsid w:val="00C55AD8"/>
    <w:rsid w:val="00C60783"/>
    <w:rsid w:val="00C64672"/>
    <w:rsid w:val="00C66CEB"/>
    <w:rsid w:val="00C67268"/>
    <w:rsid w:val="00C70697"/>
    <w:rsid w:val="00C72093"/>
    <w:rsid w:val="00C72EF4"/>
    <w:rsid w:val="00C744FE"/>
    <w:rsid w:val="00C75D2F"/>
    <w:rsid w:val="00C767BE"/>
    <w:rsid w:val="00C768BD"/>
    <w:rsid w:val="00C76E3C"/>
    <w:rsid w:val="00C81568"/>
    <w:rsid w:val="00C83EA3"/>
    <w:rsid w:val="00C867FE"/>
    <w:rsid w:val="00C9027A"/>
    <w:rsid w:val="00C9068E"/>
    <w:rsid w:val="00C91A88"/>
    <w:rsid w:val="00C93814"/>
    <w:rsid w:val="00C93C4B"/>
    <w:rsid w:val="00C944AB"/>
    <w:rsid w:val="00C95B40"/>
    <w:rsid w:val="00C97FC3"/>
    <w:rsid w:val="00CA0A29"/>
    <w:rsid w:val="00CA1ED8"/>
    <w:rsid w:val="00CA7E73"/>
    <w:rsid w:val="00CB068F"/>
    <w:rsid w:val="00CB1F63"/>
    <w:rsid w:val="00CB5FF6"/>
    <w:rsid w:val="00CB7170"/>
    <w:rsid w:val="00CC040E"/>
    <w:rsid w:val="00CC111F"/>
    <w:rsid w:val="00CC2011"/>
    <w:rsid w:val="00CC3EA0"/>
    <w:rsid w:val="00CC5670"/>
    <w:rsid w:val="00CC7B45"/>
    <w:rsid w:val="00CD0D05"/>
    <w:rsid w:val="00CD1188"/>
    <w:rsid w:val="00CD2ED1"/>
    <w:rsid w:val="00CD337B"/>
    <w:rsid w:val="00CD4B41"/>
    <w:rsid w:val="00CD4D23"/>
    <w:rsid w:val="00CD7933"/>
    <w:rsid w:val="00CE0424"/>
    <w:rsid w:val="00CE1A5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B98"/>
    <w:rsid w:val="00D32EB0"/>
    <w:rsid w:val="00D3326C"/>
    <w:rsid w:val="00D363C9"/>
    <w:rsid w:val="00D36C87"/>
    <w:rsid w:val="00D36E71"/>
    <w:rsid w:val="00D37D87"/>
    <w:rsid w:val="00D40B33"/>
    <w:rsid w:val="00D4318F"/>
    <w:rsid w:val="00D438BF"/>
    <w:rsid w:val="00D440F8"/>
    <w:rsid w:val="00D44528"/>
    <w:rsid w:val="00D509E9"/>
    <w:rsid w:val="00D546FF"/>
    <w:rsid w:val="00D55AD5"/>
    <w:rsid w:val="00D576CA"/>
    <w:rsid w:val="00D61AF5"/>
    <w:rsid w:val="00D642FD"/>
    <w:rsid w:val="00D652B5"/>
    <w:rsid w:val="00D66155"/>
    <w:rsid w:val="00D708B0"/>
    <w:rsid w:val="00D71515"/>
    <w:rsid w:val="00D77B1D"/>
    <w:rsid w:val="00D8021F"/>
    <w:rsid w:val="00D80383"/>
    <w:rsid w:val="00D823C6"/>
    <w:rsid w:val="00D8327F"/>
    <w:rsid w:val="00D8589E"/>
    <w:rsid w:val="00D86CA3"/>
    <w:rsid w:val="00D871CE"/>
    <w:rsid w:val="00D9196D"/>
    <w:rsid w:val="00D92982"/>
    <w:rsid w:val="00D97B62"/>
    <w:rsid w:val="00DA305E"/>
    <w:rsid w:val="00DA3818"/>
    <w:rsid w:val="00DA5417"/>
    <w:rsid w:val="00DA56E8"/>
    <w:rsid w:val="00DB0A1F"/>
    <w:rsid w:val="00DB0A9F"/>
    <w:rsid w:val="00DB377D"/>
    <w:rsid w:val="00DB4F61"/>
    <w:rsid w:val="00DB5E3C"/>
    <w:rsid w:val="00DC2D36"/>
    <w:rsid w:val="00DC308F"/>
    <w:rsid w:val="00DC53EF"/>
    <w:rsid w:val="00DC64A1"/>
    <w:rsid w:val="00DC6F18"/>
    <w:rsid w:val="00DD091A"/>
    <w:rsid w:val="00DD2F89"/>
    <w:rsid w:val="00DD371D"/>
    <w:rsid w:val="00DD5D7A"/>
    <w:rsid w:val="00DD7D63"/>
    <w:rsid w:val="00DE5608"/>
    <w:rsid w:val="00DE58D0"/>
    <w:rsid w:val="00DE654F"/>
    <w:rsid w:val="00DF0B6E"/>
    <w:rsid w:val="00DF15E0"/>
    <w:rsid w:val="00DF2BC2"/>
    <w:rsid w:val="00DF37A0"/>
    <w:rsid w:val="00DF4B3C"/>
    <w:rsid w:val="00E0691B"/>
    <w:rsid w:val="00E110E7"/>
    <w:rsid w:val="00E11B20"/>
    <w:rsid w:val="00E17FA2"/>
    <w:rsid w:val="00E22330"/>
    <w:rsid w:val="00E262B3"/>
    <w:rsid w:val="00E30370"/>
    <w:rsid w:val="00E30B5A"/>
    <w:rsid w:val="00E3123D"/>
    <w:rsid w:val="00E31461"/>
    <w:rsid w:val="00E31D43"/>
    <w:rsid w:val="00E32608"/>
    <w:rsid w:val="00E34188"/>
    <w:rsid w:val="00E34B6E"/>
    <w:rsid w:val="00E35559"/>
    <w:rsid w:val="00E36DA6"/>
    <w:rsid w:val="00E3723A"/>
    <w:rsid w:val="00E37860"/>
    <w:rsid w:val="00E40DA8"/>
    <w:rsid w:val="00E418CB"/>
    <w:rsid w:val="00E446F1"/>
    <w:rsid w:val="00E46886"/>
    <w:rsid w:val="00E47721"/>
    <w:rsid w:val="00E47AEF"/>
    <w:rsid w:val="00E511AB"/>
    <w:rsid w:val="00E53B75"/>
    <w:rsid w:val="00E54E3B"/>
    <w:rsid w:val="00E57565"/>
    <w:rsid w:val="00E63838"/>
    <w:rsid w:val="00E64434"/>
    <w:rsid w:val="00E660EC"/>
    <w:rsid w:val="00E66BF8"/>
    <w:rsid w:val="00E67C51"/>
    <w:rsid w:val="00E71A82"/>
    <w:rsid w:val="00E72EFC"/>
    <w:rsid w:val="00E758EC"/>
    <w:rsid w:val="00E812BE"/>
    <w:rsid w:val="00E8234C"/>
    <w:rsid w:val="00E82449"/>
    <w:rsid w:val="00E8290F"/>
    <w:rsid w:val="00E83AA9"/>
    <w:rsid w:val="00E85928"/>
    <w:rsid w:val="00E87822"/>
    <w:rsid w:val="00E90395"/>
    <w:rsid w:val="00E90E49"/>
    <w:rsid w:val="00E91753"/>
    <w:rsid w:val="00E917F9"/>
    <w:rsid w:val="00E9291C"/>
    <w:rsid w:val="00E93FFE"/>
    <w:rsid w:val="00E94F8A"/>
    <w:rsid w:val="00E95395"/>
    <w:rsid w:val="00E96F84"/>
    <w:rsid w:val="00EA1B7D"/>
    <w:rsid w:val="00EA7A41"/>
    <w:rsid w:val="00EB077B"/>
    <w:rsid w:val="00EB4EA2"/>
    <w:rsid w:val="00EB7F9C"/>
    <w:rsid w:val="00EC24D5"/>
    <w:rsid w:val="00EC27C6"/>
    <w:rsid w:val="00EC4207"/>
    <w:rsid w:val="00EC5653"/>
    <w:rsid w:val="00EC71CE"/>
    <w:rsid w:val="00ED1006"/>
    <w:rsid w:val="00ED2929"/>
    <w:rsid w:val="00ED78CA"/>
    <w:rsid w:val="00EE207D"/>
    <w:rsid w:val="00EE5A85"/>
    <w:rsid w:val="00EF18FE"/>
    <w:rsid w:val="00EF5787"/>
    <w:rsid w:val="00EF60D0"/>
    <w:rsid w:val="00F0528D"/>
    <w:rsid w:val="00F05CA8"/>
    <w:rsid w:val="00F06C67"/>
    <w:rsid w:val="00F06DFD"/>
    <w:rsid w:val="00F071D1"/>
    <w:rsid w:val="00F07533"/>
    <w:rsid w:val="00F07C13"/>
    <w:rsid w:val="00F10629"/>
    <w:rsid w:val="00F13AB2"/>
    <w:rsid w:val="00F15FA5"/>
    <w:rsid w:val="00F16DAC"/>
    <w:rsid w:val="00F209B7"/>
    <w:rsid w:val="00F2376F"/>
    <w:rsid w:val="00F243D8"/>
    <w:rsid w:val="00F252AC"/>
    <w:rsid w:val="00F26BE1"/>
    <w:rsid w:val="00F30828"/>
    <w:rsid w:val="00F313D6"/>
    <w:rsid w:val="00F31EB3"/>
    <w:rsid w:val="00F40F0C"/>
    <w:rsid w:val="00F4344F"/>
    <w:rsid w:val="00F45A51"/>
    <w:rsid w:val="00F47052"/>
    <w:rsid w:val="00F4766C"/>
    <w:rsid w:val="00F5060E"/>
    <w:rsid w:val="00F507D1"/>
    <w:rsid w:val="00F50D63"/>
    <w:rsid w:val="00F513EE"/>
    <w:rsid w:val="00F519CE"/>
    <w:rsid w:val="00F51ADA"/>
    <w:rsid w:val="00F60203"/>
    <w:rsid w:val="00F607C5"/>
    <w:rsid w:val="00F60DEA"/>
    <w:rsid w:val="00F62BFA"/>
    <w:rsid w:val="00F6302A"/>
    <w:rsid w:val="00F63950"/>
    <w:rsid w:val="00F64C2B"/>
    <w:rsid w:val="00F651BE"/>
    <w:rsid w:val="00F67F53"/>
    <w:rsid w:val="00F703BE"/>
    <w:rsid w:val="00F71F69"/>
    <w:rsid w:val="00F72AE7"/>
    <w:rsid w:val="00F72B72"/>
    <w:rsid w:val="00F74BB9"/>
    <w:rsid w:val="00F75582"/>
    <w:rsid w:val="00F76C9E"/>
    <w:rsid w:val="00F76EFA"/>
    <w:rsid w:val="00F7781C"/>
    <w:rsid w:val="00F804BE"/>
    <w:rsid w:val="00F817CE"/>
    <w:rsid w:val="00F820F1"/>
    <w:rsid w:val="00F8438A"/>
    <w:rsid w:val="00F8456C"/>
    <w:rsid w:val="00F84AB6"/>
    <w:rsid w:val="00F859D8"/>
    <w:rsid w:val="00F868F5"/>
    <w:rsid w:val="00F9056A"/>
    <w:rsid w:val="00F90F8D"/>
    <w:rsid w:val="00F9227A"/>
    <w:rsid w:val="00F92782"/>
    <w:rsid w:val="00F93743"/>
    <w:rsid w:val="00F93AA9"/>
    <w:rsid w:val="00F96985"/>
    <w:rsid w:val="00F969FF"/>
    <w:rsid w:val="00F96AF5"/>
    <w:rsid w:val="00F97838"/>
    <w:rsid w:val="00FA2BB3"/>
    <w:rsid w:val="00FA425C"/>
    <w:rsid w:val="00FA5DAD"/>
    <w:rsid w:val="00FB4C35"/>
    <w:rsid w:val="00FB4C80"/>
    <w:rsid w:val="00FB6A6A"/>
    <w:rsid w:val="00FC0590"/>
    <w:rsid w:val="00FC7429"/>
    <w:rsid w:val="00FC7D2F"/>
    <w:rsid w:val="00FD07F6"/>
    <w:rsid w:val="00FD1EC8"/>
    <w:rsid w:val="00FD47ED"/>
    <w:rsid w:val="00FD74DB"/>
    <w:rsid w:val="00FD7660"/>
    <w:rsid w:val="00FE0655"/>
    <w:rsid w:val="00FE2365"/>
    <w:rsid w:val="00FE37D7"/>
    <w:rsid w:val="00FE4C7B"/>
    <w:rsid w:val="00FE6F9A"/>
    <w:rsid w:val="00FE7336"/>
    <w:rsid w:val="00FE787C"/>
    <w:rsid w:val="00FE79BB"/>
    <w:rsid w:val="00FF45A5"/>
    <w:rsid w:val="00FF4F2F"/>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6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3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33676"/>
    <w:pPr>
      <w:pBdr>
        <w:top w:val="none" w:sz="0" w:space="0" w:color="auto"/>
      </w:pBdr>
      <w:spacing w:before="180"/>
      <w:outlineLvl w:val="1"/>
    </w:pPr>
    <w:rPr>
      <w:sz w:val="32"/>
    </w:rPr>
  </w:style>
  <w:style w:type="paragraph" w:styleId="Heading3">
    <w:name w:val="heading 3"/>
    <w:basedOn w:val="Heading2"/>
    <w:next w:val="Normal"/>
    <w:link w:val="Heading3Char"/>
    <w:qFormat/>
    <w:rsid w:val="00333676"/>
    <w:pPr>
      <w:spacing w:before="120"/>
      <w:outlineLvl w:val="2"/>
    </w:pPr>
    <w:rPr>
      <w:sz w:val="28"/>
    </w:rPr>
  </w:style>
  <w:style w:type="paragraph" w:styleId="Heading4">
    <w:name w:val="heading 4"/>
    <w:basedOn w:val="Heading3"/>
    <w:next w:val="Normal"/>
    <w:link w:val="Heading4Char"/>
    <w:qFormat/>
    <w:rsid w:val="00333676"/>
    <w:pPr>
      <w:ind w:left="1418" w:hanging="1418"/>
      <w:outlineLvl w:val="3"/>
    </w:pPr>
    <w:rPr>
      <w:sz w:val="24"/>
    </w:rPr>
  </w:style>
  <w:style w:type="paragraph" w:styleId="Heading5">
    <w:name w:val="heading 5"/>
    <w:basedOn w:val="Heading4"/>
    <w:next w:val="Normal"/>
    <w:link w:val="Heading5Char"/>
    <w:qFormat/>
    <w:rsid w:val="00333676"/>
    <w:pPr>
      <w:ind w:left="1701" w:hanging="1701"/>
      <w:outlineLvl w:val="4"/>
    </w:pPr>
    <w:rPr>
      <w:sz w:val="22"/>
    </w:rPr>
  </w:style>
  <w:style w:type="paragraph" w:styleId="Heading6">
    <w:name w:val="heading 6"/>
    <w:basedOn w:val="H6"/>
    <w:next w:val="Normal"/>
    <w:link w:val="Heading6Char"/>
    <w:qFormat/>
    <w:rsid w:val="00333676"/>
    <w:pPr>
      <w:outlineLvl w:val="5"/>
    </w:pPr>
  </w:style>
  <w:style w:type="paragraph" w:styleId="Heading7">
    <w:name w:val="heading 7"/>
    <w:basedOn w:val="H6"/>
    <w:next w:val="Normal"/>
    <w:link w:val="Heading7Char"/>
    <w:qFormat/>
    <w:rsid w:val="00333676"/>
    <w:pPr>
      <w:outlineLvl w:val="6"/>
    </w:pPr>
  </w:style>
  <w:style w:type="paragraph" w:styleId="Heading8">
    <w:name w:val="heading 8"/>
    <w:basedOn w:val="Heading1"/>
    <w:next w:val="Normal"/>
    <w:link w:val="Heading8Char"/>
    <w:qFormat/>
    <w:rsid w:val="00333676"/>
    <w:pPr>
      <w:ind w:left="0" w:firstLine="0"/>
      <w:outlineLvl w:val="7"/>
    </w:pPr>
  </w:style>
  <w:style w:type="paragraph" w:styleId="Heading9">
    <w:name w:val="heading 9"/>
    <w:basedOn w:val="Heading8"/>
    <w:next w:val="Normal"/>
    <w:link w:val="Heading9Char"/>
    <w:qFormat/>
    <w:rsid w:val="003336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3676"/>
    <w:pPr>
      <w:spacing w:before="180"/>
      <w:ind w:left="2693" w:hanging="2693"/>
    </w:pPr>
    <w:rPr>
      <w:b/>
    </w:rPr>
  </w:style>
  <w:style w:type="paragraph" w:styleId="TOC1">
    <w:name w:val="toc 1"/>
    <w:uiPriority w:val="39"/>
    <w:rsid w:val="003336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33676"/>
    <w:pPr>
      <w:keepNext/>
      <w:keepLines/>
      <w:spacing w:before="180"/>
      <w:jc w:val="center"/>
    </w:pPr>
  </w:style>
  <w:style w:type="paragraph" w:styleId="Caption">
    <w:name w:val="caption"/>
    <w:basedOn w:val="Normal"/>
    <w:next w:val="Normal"/>
    <w:qFormat/>
    <w:rsid w:val="00333676"/>
    <w:pPr>
      <w:spacing w:before="120" w:after="120"/>
    </w:pPr>
    <w:rPr>
      <w:b/>
      <w:lang w:eastAsia="en-GB"/>
    </w:rPr>
  </w:style>
  <w:style w:type="paragraph" w:styleId="TOC5">
    <w:name w:val="toc 5"/>
    <w:basedOn w:val="TOC4"/>
    <w:uiPriority w:val="39"/>
    <w:rsid w:val="00333676"/>
    <w:pPr>
      <w:ind w:left="1701" w:hanging="1701"/>
    </w:pPr>
  </w:style>
  <w:style w:type="paragraph" w:styleId="TOC4">
    <w:name w:val="toc 4"/>
    <w:basedOn w:val="TOC3"/>
    <w:uiPriority w:val="39"/>
    <w:rsid w:val="00333676"/>
    <w:pPr>
      <w:ind w:left="1418" w:hanging="1418"/>
    </w:pPr>
  </w:style>
  <w:style w:type="paragraph" w:styleId="TOC3">
    <w:name w:val="toc 3"/>
    <w:basedOn w:val="TOC2"/>
    <w:uiPriority w:val="39"/>
    <w:rsid w:val="00333676"/>
    <w:pPr>
      <w:ind w:left="1134" w:hanging="1134"/>
    </w:pPr>
  </w:style>
  <w:style w:type="paragraph" w:styleId="TOC2">
    <w:name w:val="toc 2"/>
    <w:basedOn w:val="TOC1"/>
    <w:uiPriority w:val="39"/>
    <w:rsid w:val="00333676"/>
    <w:pPr>
      <w:keepNext w:val="0"/>
      <w:spacing w:before="0"/>
      <w:ind w:left="851" w:hanging="851"/>
    </w:pPr>
    <w:rPr>
      <w:sz w:val="20"/>
    </w:rPr>
  </w:style>
  <w:style w:type="paragraph" w:styleId="Index2">
    <w:name w:val="index 2"/>
    <w:basedOn w:val="Index1"/>
    <w:rsid w:val="00333676"/>
    <w:pPr>
      <w:ind w:left="284"/>
    </w:pPr>
  </w:style>
  <w:style w:type="paragraph" w:styleId="Index1">
    <w:name w:val="index 1"/>
    <w:basedOn w:val="Normal"/>
    <w:rsid w:val="00333676"/>
    <w:pPr>
      <w:keepLines/>
      <w:spacing w:after="0"/>
    </w:pPr>
  </w:style>
  <w:style w:type="paragraph" w:styleId="DocumentMap">
    <w:name w:val="Document Map"/>
    <w:basedOn w:val="Normal"/>
    <w:link w:val="DocumentMapChar"/>
    <w:rsid w:val="00333676"/>
    <w:pPr>
      <w:shd w:val="clear" w:color="auto" w:fill="000080"/>
    </w:pPr>
    <w:rPr>
      <w:rFonts w:ascii="Tahoma" w:hAnsi="Tahoma" w:cs="Tahoma"/>
    </w:rPr>
  </w:style>
  <w:style w:type="paragraph" w:styleId="ListNumber2">
    <w:name w:val="List Number 2"/>
    <w:basedOn w:val="ListNumber"/>
    <w:rsid w:val="00333676"/>
    <w:pPr>
      <w:numPr>
        <w:numId w:val="22"/>
      </w:numPr>
    </w:pPr>
  </w:style>
  <w:style w:type="paragraph" w:styleId="ListNumber">
    <w:name w:val="List Number"/>
    <w:basedOn w:val="List"/>
    <w:rsid w:val="00333676"/>
    <w:pPr>
      <w:numPr>
        <w:numId w:val="21"/>
      </w:numPr>
    </w:pPr>
    <w:rPr>
      <w:lang w:eastAsia="ja-JP"/>
    </w:rPr>
  </w:style>
  <w:style w:type="paragraph" w:styleId="List">
    <w:name w:val="List"/>
    <w:basedOn w:val="BodyText"/>
    <w:rsid w:val="00333676"/>
    <w:pPr>
      <w:ind w:left="568" w:hanging="284"/>
    </w:pPr>
  </w:style>
  <w:style w:type="paragraph" w:styleId="Header">
    <w:name w:val="header"/>
    <w:link w:val="HeaderChar"/>
    <w:rsid w:val="0033367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33676"/>
    <w:rPr>
      <w:b/>
      <w:position w:val="6"/>
      <w:sz w:val="16"/>
    </w:rPr>
  </w:style>
  <w:style w:type="paragraph" w:styleId="FootnoteText">
    <w:name w:val="footnote text"/>
    <w:basedOn w:val="Normal"/>
    <w:link w:val="FootnoteTextChar"/>
    <w:rsid w:val="00333676"/>
    <w:pPr>
      <w:keepLines/>
      <w:spacing w:after="0"/>
      <w:ind w:left="454" w:hanging="454"/>
    </w:pPr>
    <w:rPr>
      <w:sz w:val="16"/>
    </w:rPr>
  </w:style>
  <w:style w:type="paragraph" w:customStyle="1" w:styleId="3GPPHeader">
    <w:name w:val="3GPP_Header"/>
    <w:basedOn w:val="BodyText"/>
    <w:rsid w:val="00333676"/>
    <w:pPr>
      <w:tabs>
        <w:tab w:val="left" w:pos="1701"/>
        <w:tab w:val="right" w:pos="9639"/>
      </w:tabs>
      <w:spacing w:after="240"/>
    </w:pPr>
    <w:rPr>
      <w:b/>
      <w:sz w:val="24"/>
    </w:rPr>
  </w:style>
  <w:style w:type="paragraph" w:styleId="TOC9">
    <w:name w:val="toc 9"/>
    <w:basedOn w:val="TOC8"/>
    <w:uiPriority w:val="39"/>
    <w:rsid w:val="00333676"/>
    <w:pPr>
      <w:ind w:left="1418" w:hanging="1418"/>
    </w:pPr>
  </w:style>
  <w:style w:type="paragraph" w:styleId="TOC6">
    <w:name w:val="toc 6"/>
    <w:basedOn w:val="TOC5"/>
    <w:next w:val="Normal"/>
    <w:uiPriority w:val="39"/>
    <w:rsid w:val="00333676"/>
    <w:pPr>
      <w:ind w:left="1985" w:hanging="1985"/>
    </w:pPr>
  </w:style>
  <w:style w:type="paragraph" w:styleId="TOC7">
    <w:name w:val="toc 7"/>
    <w:basedOn w:val="TOC6"/>
    <w:next w:val="Normal"/>
    <w:uiPriority w:val="39"/>
    <w:rsid w:val="00333676"/>
    <w:pPr>
      <w:ind w:left="2268" w:hanging="2268"/>
    </w:pPr>
  </w:style>
  <w:style w:type="paragraph" w:styleId="ListBullet2">
    <w:name w:val="List Bullet 2"/>
    <w:basedOn w:val="ListBullet"/>
    <w:rsid w:val="00333676"/>
    <w:pPr>
      <w:numPr>
        <w:numId w:val="17"/>
      </w:numPr>
    </w:pPr>
  </w:style>
  <w:style w:type="paragraph" w:styleId="ListBullet">
    <w:name w:val="List Bullet"/>
    <w:basedOn w:val="List"/>
    <w:rsid w:val="00333676"/>
    <w:pPr>
      <w:numPr>
        <w:numId w:val="16"/>
      </w:numPr>
    </w:pPr>
    <w:rPr>
      <w:lang w:eastAsia="ja-JP"/>
    </w:rPr>
  </w:style>
  <w:style w:type="paragraph" w:styleId="ListBullet3">
    <w:name w:val="List Bullet 3"/>
    <w:basedOn w:val="ListBullet2"/>
    <w:rsid w:val="00333676"/>
    <w:pPr>
      <w:numPr>
        <w:numId w:val="18"/>
      </w:numPr>
    </w:pPr>
  </w:style>
  <w:style w:type="paragraph" w:customStyle="1" w:styleId="EQ">
    <w:name w:val="EQ"/>
    <w:basedOn w:val="Normal"/>
    <w:next w:val="Normal"/>
    <w:rsid w:val="00333676"/>
    <w:pPr>
      <w:keepLines/>
      <w:tabs>
        <w:tab w:val="center" w:pos="4536"/>
        <w:tab w:val="right" w:pos="9072"/>
      </w:tabs>
    </w:pPr>
    <w:rPr>
      <w:noProof/>
    </w:rPr>
  </w:style>
  <w:style w:type="paragraph" w:styleId="List2">
    <w:name w:val="List 2"/>
    <w:basedOn w:val="List"/>
    <w:rsid w:val="00333676"/>
    <w:pPr>
      <w:ind w:left="851"/>
    </w:pPr>
    <w:rPr>
      <w:lang w:eastAsia="ja-JP"/>
    </w:rPr>
  </w:style>
  <w:style w:type="paragraph" w:styleId="List3">
    <w:name w:val="List 3"/>
    <w:basedOn w:val="List2"/>
    <w:rsid w:val="00333676"/>
    <w:pPr>
      <w:ind w:left="1135"/>
    </w:pPr>
  </w:style>
  <w:style w:type="paragraph" w:styleId="List4">
    <w:name w:val="List 4"/>
    <w:basedOn w:val="List3"/>
    <w:rsid w:val="00333676"/>
    <w:pPr>
      <w:ind w:left="1418"/>
    </w:pPr>
  </w:style>
  <w:style w:type="paragraph" w:styleId="List5">
    <w:name w:val="List 5"/>
    <w:basedOn w:val="List4"/>
    <w:rsid w:val="00333676"/>
    <w:pPr>
      <w:ind w:left="1702"/>
    </w:pPr>
  </w:style>
  <w:style w:type="paragraph" w:customStyle="1" w:styleId="EditorsNote">
    <w:name w:val="Editor's Note"/>
    <w:basedOn w:val="NO"/>
    <w:link w:val="EditorsNoteChar"/>
    <w:rsid w:val="00333676"/>
    <w:rPr>
      <w:color w:val="FF0000"/>
      <w:lang w:val="x-none" w:eastAsia="x-none"/>
    </w:rPr>
  </w:style>
  <w:style w:type="paragraph" w:styleId="ListBullet4">
    <w:name w:val="List Bullet 4"/>
    <w:basedOn w:val="ListBullet3"/>
    <w:rsid w:val="00333676"/>
    <w:pPr>
      <w:numPr>
        <w:numId w:val="19"/>
      </w:numPr>
    </w:pPr>
  </w:style>
  <w:style w:type="paragraph" w:styleId="ListBullet5">
    <w:name w:val="List Bullet 5"/>
    <w:basedOn w:val="ListBullet4"/>
    <w:rsid w:val="00333676"/>
    <w:pPr>
      <w:numPr>
        <w:numId w:val="20"/>
      </w:numPr>
    </w:pPr>
  </w:style>
  <w:style w:type="paragraph" w:styleId="Footer">
    <w:name w:val="footer"/>
    <w:basedOn w:val="Header"/>
    <w:link w:val="FooterChar"/>
    <w:rsid w:val="00333676"/>
    <w:pPr>
      <w:jc w:val="center"/>
    </w:pPr>
    <w:rPr>
      <w:i/>
    </w:rPr>
  </w:style>
  <w:style w:type="paragraph" w:customStyle="1" w:styleId="Reference">
    <w:name w:val="Reference"/>
    <w:basedOn w:val="BodyText"/>
    <w:link w:val="ReferenceChar"/>
    <w:rsid w:val="00333676"/>
    <w:pPr>
      <w:numPr>
        <w:numId w:val="2"/>
      </w:numPr>
    </w:pPr>
  </w:style>
  <w:style w:type="paragraph" w:styleId="BalloonText">
    <w:name w:val="Balloon Text"/>
    <w:basedOn w:val="Normal"/>
    <w:link w:val="BalloonTextChar"/>
    <w:rsid w:val="00333676"/>
    <w:pPr>
      <w:spacing w:after="0"/>
    </w:pPr>
    <w:rPr>
      <w:rFonts w:ascii="Segoe UI" w:hAnsi="Segoe UI" w:cs="Segoe UI"/>
      <w:sz w:val="18"/>
      <w:szCs w:val="18"/>
    </w:rPr>
  </w:style>
  <w:style w:type="character" w:styleId="PageNumber">
    <w:name w:val="page number"/>
    <w:basedOn w:val="DefaultParagraphFont"/>
    <w:rsid w:val="00333676"/>
  </w:style>
  <w:style w:type="paragraph" w:styleId="BodyText">
    <w:name w:val="Body Text"/>
    <w:basedOn w:val="Normal"/>
    <w:link w:val="BodyTextChar"/>
    <w:rsid w:val="00333676"/>
    <w:pPr>
      <w:spacing w:after="120"/>
      <w:jc w:val="both"/>
    </w:pPr>
    <w:rPr>
      <w:rFonts w:ascii="Arial" w:hAnsi="Arial"/>
      <w:lang w:eastAsia="zh-CN"/>
    </w:rPr>
  </w:style>
  <w:style w:type="character" w:styleId="Hyperlink">
    <w:name w:val="Hyperlink"/>
    <w:uiPriority w:val="99"/>
    <w:rsid w:val="00333676"/>
    <w:rPr>
      <w:color w:val="0000FF"/>
      <w:u w:val="single"/>
    </w:rPr>
  </w:style>
  <w:style w:type="character" w:styleId="FollowedHyperlink">
    <w:name w:val="FollowedHyperlink"/>
    <w:unhideWhenUsed/>
    <w:rsid w:val="00333676"/>
    <w:rPr>
      <w:color w:val="800080"/>
      <w:u w:val="single"/>
    </w:rPr>
  </w:style>
  <w:style w:type="character" w:styleId="CommentReference">
    <w:name w:val="annotation reference"/>
    <w:uiPriority w:val="99"/>
    <w:qFormat/>
    <w:rsid w:val="00333676"/>
    <w:rPr>
      <w:sz w:val="16"/>
      <w:szCs w:val="16"/>
    </w:rPr>
  </w:style>
  <w:style w:type="paragraph" w:styleId="CommentText">
    <w:name w:val="annotation text"/>
    <w:basedOn w:val="Normal"/>
    <w:link w:val="CommentTextChar"/>
    <w:uiPriority w:val="99"/>
    <w:qFormat/>
    <w:rsid w:val="00333676"/>
  </w:style>
  <w:style w:type="paragraph" w:styleId="CommentSubject">
    <w:name w:val="annotation subject"/>
    <w:basedOn w:val="CommentText"/>
    <w:next w:val="CommentText"/>
    <w:link w:val="CommentSubjectChar"/>
    <w:rsid w:val="00333676"/>
    <w:rPr>
      <w:b/>
      <w:bCs/>
    </w:rPr>
  </w:style>
  <w:style w:type="character" w:customStyle="1" w:styleId="Heading1Char">
    <w:name w:val="Heading 1 Char"/>
    <w:link w:val="Heading1"/>
    <w:rsid w:val="00333676"/>
    <w:rPr>
      <w:rFonts w:ascii="Arial" w:hAnsi="Arial"/>
      <w:sz w:val="36"/>
      <w:lang w:eastAsia="ja-JP"/>
    </w:rPr>
  </w:style>
  <w:style w:type="paragraph" w:customStyle="1" w:styleId="B1">
    <w:name w:val="B1"/>
    <w:basedOn w:val="List"/>
    <w:link w:val="B1Char1"/>
    <w:qFormat/>
    <w:rsid w:val="00333676"/>
    <w:rPr>
      <w:rFonts w:ascii="Times New Roman" w:hAnsi="Times New Roman"/>
    </w:rPr>
  </w:style>
  <w:style w:type="paragraph" w:customStyle="1" w:styleId="B2">
    <w:name w:val="B2"/>
    <w:basedOn w:val="List2"/>
    <w:link w:val="B2Char"/>
    <w:qFormat/>
    <w:rsid w:val="00333676"/>
    <w:rPr>
      <w:rFonts w:ascii="Times New Roman" w:hAnsi="Times New Roman"/>
    </w:rPr>
  </w:style>
  <w:style w:type="paragraph" w:customStyle="1" w:styleId="B3">
    <w:name w:val="B3"/>
    <w:basedOn w:val="List3"/>
    <w:link w:val="B3Char2"/>
    <w:rsid w:val="00333676"/>
    <w:rPr>
      <w:rFonts w:ascii="Times New Roman" w:hAnsi="Times New Roman"/>
    </w:rPr>
  </w:style>
  <w:style w:type="paragraph" w:customStyle="1" w:styleId="B4">
    <w:name w:val="B4"/>
    <w:basedOn w:val="List4"/>
    <w:link w:val="B4Char"/>
    <w:rsid w:val="00333676"/>
    <w:rPr>
      <w:rFonts w:ascii="Times New Roman" w:hAnsi="Times New Roman"/>
    </w:rPr>
  </w:style>
  <w:style w:type="paragraph" w:customStyle="1" w:styleId="Proposal">
    <w:name w:val="Proposal"/>
    <w:basedOn w:val="BodyText"/>
    <w:rsid w:val="00333676"/>
    <w:pPr>
      <w:numPr>
        <w:numId w:val="3"/>
      </w:numPr>
      <w:tabs>
        <w:tab w:val="clear" w:pos="1304"/>
        <w:tab w:val="left" w:pos="1701"/>
      </w:tabs>
      <w:ind w:left="1701" w:hanging="1701"/>
    </w:pPr>
    <w:rPr>
      <w:b/>
      <w:bCs/>
    </w:rPr>
  </w:style>
  <w:style w:type="character" w:customStyle="1" w:styleId="BodyTextChar">
    <w:name w:val="Body Text Char"/>
    <w:link w:val="BodyText"/>
    <w:rsid w:val="00333676"/>
    <w:rPr>
      <w:rFonts w:ascii="Arial" w:hAnsi="Arial"/>
      <w:lang w:eastAsia="zh-CN"/>
    </w:rPr>
  </w:style>
  <w:style w:type="paragraph" w:customStyle="1" w:styleId="B5">
    <w:name w:val="B5"/>
    <w:basedOn w:val="List5"/>
    <w:link w:val="B5Char"/>
    <w:rsid w:val="00333676"/>
    <w:rPr>
      <w:rFonts w:ascii="Times New Roman" w:hAnsi="Times New Roman"/>
    </w:rPr>
  </w:style>
  <w:style w:type="paragraph" w:customStyle="1" w:styleId="EX">
    <w:name w:val="EX"/>
    <w:basedOn w:val="Normal"/>
    <w:rsid w:val="00333676"/>
    <w:pPr>
      <w:keepLines/>
      <w:ind w:left="1702" w:hanging="1418"/>
    </w:pPr>
  </w:style>
  <w:style w:type="paragraph" w:customStyle="1" w:styleId="EW">
    <w:name w:val="EW"/>
    <w:basedOn w:val="EX"/>
    <w:rsid w:val="00333676"/>
    <w:pPr>
      <w:spacing w:after="0"/>
    </w:pPr>
  </w:style>
  <w:style w:type="paragraph" w:customStyle="1" w:styleId="TAL">
    <w:name w:val="TAL"/>
    <w:basedOn w:val="Normal"/>
    <w:link w:val="TALCar"/>
    <w:qFormat/>
    <w:rsid w:val="00333676"/>
    <w:pPr>
      <w:keepNext/>
      <w:keepLines/>
      <w:spacing w:after="0"/>
    </w:pPr>
    <w:rPr>
      <w:rFonts w:ascii="Arial" w:hAnsi="Arial"/>
      <w:sz w:val="18"/>
      <w:lang w:val="x-none" w:eastAsia="x-none"/>
    </w:rPr>
  </w:style>
  <w:style w:type="paragraph" w:customStyle="1" w:styleId="TAC">
    <w:name w:val="TAC"/>
    <w:basedOn w:val="TAL"/>
    <w:rsid w:val="00333676"/>
    <w:pPr>
      <w:jc w:val="center"/>
    </w:pPr>
  </w:style>
  <w:style w:type="paragraph" w:customStyle="1" w:styleId="TAH">
    <w:name w:val="TAH"/>
    <w:basedOn w:val="TAC"/>
    <w:link w:val="TAHCar"/>
    <w:rsid w:val="00333676"/>
    <w:rPr>
      <w:b/>
    </w:rPr>
  </w:style>
  <w:style w:type="paragraph" w:customStyle="1" w:styleId="TAN">
    <w:name w:val="TAN"/>
    <w:basedOn w:val="TAL"/>
    <w:rsid w:val="00333676"/>
    <w:pPr>
      <w:ind w:left="851" w:hanging="851"/>
    </w:pPr>
  </w:style>
  <w:style w:type="paragraph" w:customStyle="1" w:styleId="TAR">
    <w:name w:val="TAR"/>
    <w:basedOn w:val="TAL"/>
    <w:rsid w:val="00333676"/>
    <w:pPr>
      <w:jc w:val="right"/>
    </w:pPr>
  </w:style>
  <w:style w:type="paragraph" w:customStyle="1" w:styleId="TH">
    <w:name w:val="TH"/>
    <w:basedOn w:val="Normal"/>
    <w:link w:val="THChar"/>
    <w:rsid w:val="00333676"/>
    <w:pPr>
      <w:keepNext/>
      <w:keepLines/>
      <w:spacing w:before="60"/>
      <w:jc w:val="center"/>
    </w:pPr>
    <w:rPr>
      <w:rFonts w:ascii="Arial" w:hAnsi="Arial"/>
      <w:b/>
      <w:lang w:val="x-none" w:eastAsia="x-none"/>
    </w:rPr>
  </w:style>
  <w:style w:type="paragraph" w:customStyle="1" w:styleId="TF">
    <w:name w:val="TF"/>
    <w:basedOn w:val="TH"/>
    <w:link w:val="TFChar"/>
    <w:rsid w:val="00333676"/>
    <w:pPr>
      <w:keepNext w:val="0"/>
      <w:spacing w:before="0" w:after="240"/>
    </w:pPr>
  </w:style>
  <w:style w:type="paragraph" w:customStyle="1" w:styleId="TT">
    <w:name w:val="TT"/>
    <w:basedOn w:val="Heading1"/>
    <w:next w:val="Normal"/>
    <w:rsid w:val="00333676"/>
    <w:pPr>
      <w:outlineLvl w:val="9"/>
    </w:pPr>
  </w:style>
  <w:style w:type="paragraph" w:customStyle="1" w:styleId="ZA">
    <w:name w:val="ZA"/>
    <w:rsid w:val="0033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3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3367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3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33676"/>
  </w:style>
  <w:style w:type="paragraph" w:customStyle="1" w:styleId="ZH">
    <w:name w:val="ZH"/>
    <w:rsid w:val="0033367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3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33676"/>
    <w:pPr>
      <w:framePr w:hRule="auto" w:wrap="notBeside" w:y="852"/>
    </w:pPr>
    <w:rPr>
      <w:i w:val="0"/>
      <w:sz w:val="40"/>
    </w:rPr>
  </w:style>
  <w:style w:type="paragraph" w:customStyle="1" w:styleId="ZU">
    <w:name w:val="ZU"/>
    <w:rsid w:val="0033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33676"/>
    <w:pPr>
      <w:framePr w:wrap="notBeside" w:y="16161"/>
    </w:pPr>
  </w:style>
  <w:style w:type="paragraph" w:customStyle="1" w:styleId="FP">
    <w:name w:val="FP"/>
    <w:basedOn w:val="Normal"/>
    <w:rsid w:val="00333676"/>
    <w:pPr>
      <w:spacing w:after="0"/>
    </w:pPr>
  </w:style>
  <w:style w:type="paragraph" w:customStyle="1" w:styleId="Observation">
    <w:name w:val="Observation"/>
    <w:basedOn w:val="Proposal"/>
    <w:qFormat/>
    <w:rsid w:val="00333676"/>
    <w:pPr>
      <w:numPr>
        <w:numId w:val="13"/>
      </w:numPr>
      <w:ind w:left="1701" w:hanging="1701"/>
    </w:pPr>
    <w:rPr>
      <w:lang w:eastAsia="ja-JP"/>
    </w:rPr>
  </w:style>
  <w:style w:type="paragraph" w:styleId="TableofFigures">
    <w:name w:val="table of figures"/>
    <w:basedOn w:val="BodyText"/>
    <w:next w:val="Normal"/>
    <w:uiPriority w:val="99"/>
    <w:rsid w:val="00333676"/>
    <w:pPr>
      <w:ind w:left="1701" w:hanging="1701"/>
      <w:jc w:val="left"/>
    </w:pPr>
    <w:rPr>
      <w:b/>
    </w:rPr>
  </w:style>
  <w:style w:type="character" w:customStyle="1" w:styleId="B1Char1">
    <w:name w:val="B1 Char1"/>
    <w:link w:val="B1"/>
    <w:qFormat/>
    <w:rsid w:val="00333676"/>
    <w:rPr>
      <w:rFonts w:ascii="Times New Roman" w:hAnsi="Times New Roman"/>
      <w:lang w:eastAsia="zh-CN"/>
    </w:rPr>
  </w:style>
  <w:style w:type="character" w:customStyle="1" w:styleId="B2Char">
    <w:name w:val="B2 Char"/>
    <w:link w:val="B2"/>
    <w:qFormat/>
    <w:rsid w:val="00333676"/>
    <w:rPr>
      <w:rFonts w:ascii="Times New Roman" w:hAnsi="Times New Roman"/>
      <w:lang w:eastAsia="ja-JP"/>
    </w:rPr>
  </w:style>
  <w:style w:type="character" w:customStyle="1" w:styleId="B3Char2">
    <w:name w:val="B3 Char2"/>
    <w:link w:val="B3"/>
    <w:qFormat/>
    <w:rsid w:val="00333676"/>
    <w:rPr>
      <w:rFonts w:ascii="Times New Roman" w:hAnsi="Times New Roman"/>
      <w:lang w:eastAsia="ja-JP"/>
    </w:rPr>
  </w:style>
  <w:style w:type="character" w:customStyle="1" w:styleId="B4Char">
    <w:name w:val="B4 Char"/>
    <w:link w:val="B4"/>
    <w:rsid w:val="00333676"/>
    <w:rPr>
      <w:rFonts w:ascii="Times New Roman" w:hAnsi="Times New Roman"/>
      <w:lang w:eastAsia="ja-JP"/>
    </w:rPr>
  </w:style>
  <w:style w:type="character" w:customStyle="1" w:styleId="B5Char">
    <w:name w:val="B5 Char"/>
    <w:link w:val="B5"/>
    <w:rsid w:val="00333676"/>
    <w:rPr>
      <w:rFonts w:ascii="Times New Roman" w:hAnsi="Times New Roman"/>
      <w:lang w:eastAsia="ja-JP"/>
    </w:rPr>
  </w:style>
  <w:style w:type="paragraph" w:customStyle="1" w:styleId="B6">
    <w:name w:val="B6"/>
    <w:basedOn w:val="B5"/>
    <w:link w:val="B6Char"/>
    <w:rsid w:val="00333676"/>
    <w:pPr>
      <w:ind w:left="1985"/>
    </w:pPr>
  </w:style>
  <w:style w:type="character" w:customStyle="1" w:styleId="B6Char">
    <w:name w:val="B6 Char"/>
    <w:link w:val="B6"/>
    <w:rsid w:val="00333676"/>
    <w:rPr>
      <w:rFonts w:ascii="Times New Roman" w:hAnsi="Times New Roman"/>
      <w:lang w:eastAsia="ja-JP"/>
    </w:rPr>
  </w:style>
  <w:style w:type="paragraph" w:customStyle="1" w:styleId="B7">
    <w:name w:val="B7"/>
    <w:basedOn w:val="B6"/>
    <w:link w:val="B7Char"/>
    <w:rsid w:val="00333676"/>
    <w:pPr>
      <w:ind w:left="2269"/>
    </w:pPr>
  </w:style>
  <w:style w:type="character" w:customStyle="1" w:styleId="B7Char">
    <w:name w:val="B7 Char"/>
    <w:basedOn w:val="B6Char"/>
    <w:link w:val="B7"/>
    <w:rsid w:val="00333676"/>
    <w:rPr>
      <w:rFonts w:ascii="Times New Roman" w:hAnsi="Times New Roman"/>
      <w:lang w:eastAsia="ja-JP"/>
    </w:rPr>
  </w:style>
  <w:style w:type="paragraph" w:customStyle="1" w:styleId="B8">
    <w:name w:val="B8"/>
    <w:basedOn w:val="B7"/>
    <w:qFormat/>
    <w:rsid w:val="00333676"/>
    <w:pPr>
      <w:ind w:left="2552"/>
    </w:pPr>
  </w:style>
  <w:style w:type="character" w:customStyle="1" w:styleId="BalloonTextChar">
    <w:name w:val="Balloon Text Char"/>
    <w:link w:val="BalloonText"/>
    <w:rsid w:val="00333676"/>
    <w:rPr>
      <w:rFonts w:ascii="Segoe UI" w:hAnsi="Segoe UI" w:cs="Segoe UI"/>
      <w:sz w:val="18"/>
      <w:szCs w:val="18"/>
      <w:lang w:eastAsia="ja-JP"/>
    </w:rPr>
  </w:style>
  <w:style w:type="character" w:customStyle="1" w:styleId="CommentTextChar">
    <w:name w:val="Comment Text Char"/>
    <w:link w:val="CommentText"/>
    <w:uiPriority w:val="99"/>
    <w:qFormat/>
    <w:rsid w:val="00333676"/>
    <w:rPr>
      <w:rFonts w:ascii="Times New Roman" w:hAnsi="Times New Roman"/>
      <w:lang w:eastAsia="ja-JP"/>
    </w:rPr>
  </w:style>
  <w:style w:type="character" w:customStyle="1" w:styleId="CommentSubjectChar">
    <w:name w:val="Comment Subject Char"/>
    <w:link w:val="CommentSubject"/>
    <w:rsid w:val="00333676"/>
    <w:rPr>
      <w:rFonts w:ascii="Times New Roman" w:hAnsi="Times New Roman"/>
      <w:b/>
      <w:bCs/>
      <w:lang w:eastAsia="ja-JP"/>
    </w:rPr>
  </w:style>
  <w:style w:type="paragraph" w:customStyle="1" w:styleId="CRCoverPage">
    <w:name w:val="CR Cover Page"/>
    <w:link w:val="CRCoverPageZchn"/>
    <w:rsid w:val="00333676"/>
    <w:pPr>
      <w:spacing w:after="120"/>
    </w:pPr>
    <w:rPr>
      <w:rFonts w:ascii="Arial" w:hAnsi="Arial"/>
      <w:lang w:eastAsia="ko-KR"/>
    </w:rPr>
  </w:style>
  <w:style w:type="character" w:customStyle="1" w:styleId="CRCoverPageZchn">
    <w:name w:val="CR Cover Page Zchn"/>
    <w:link w:val="CRCoverPage"/>
    <w:rsid w:val="00333676"/>
    <w:rPr>
      <w:rFonts w:ascii="Arial" w:hAnsi="Arial"/>
      <w:lang w:eastAsia="ko-KR"/>
    </w:rPr>
  </w:style>
  <w:style w:type="paragraph" w:customStyle="1" w:styleId="Doc-text2">
    <w:name w:val="Doc-text2"/>
    <w:basedOn w:val="Normal"/>
    <w:link w:val="Doc-text2Char"/>
    <w:qFormat/>
    <w:rsid w:val="0033367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33676"/>
    <w:rPr>
      <w:rFonts w:ascii="Arial" w:eastAsia="MS Mincho" w:hAnsi="Arial"/>
      <w:szCs w:val="24"/>
      <w:lang w:val="x-none" w:eastAsia="x-none"/>
    </w:rPr>
  </w:style>
  <w:style w:type="character" w:customStyle="1" w:styleId="DocumentMapChar">
    <w:name w:val="Document Map Char"/>
    <w:link w:val="DocumentMap"/>
    <w:rsid w:val="00333676"/>
    <w:rPr>
      <w:rFonts w:ascii="Tahoma" w:hAnsi="Tahoma" w:cs="Tahoma"/>
      <w:shd w:val="clear" w:color="auto" w:fill="000080"/>
      <w:lang w:eastAsia="ja-JP"/>
    </w:rPr>
  </w:style>
  <w:style w:type="paragraph" w:customStyle="1" w:styleId="NO">
    <w:name w:val="NO"/>
    <w:basedOn w:val="Normal"/>
    <w:link w:val="NOChar"/>
    <w:qFormat/>
    <w:rsid w:val="00333676"/>
    <w:pPr>
      <w:keepLines/>
      <w:ind w:left="1135" w:hanging="851"/>
    </w:pPr>
  </w:style>
  <w:style w:type="character" w:customStyle="1" w:styleId="NOChar">
    <w:name w:val="NO Char"/>
    <w:link w:val="NO"/>
    <w:qFormat/>
    <w:rsid w:val="00333676"/>
    <w:rPr>
      <w:rFonts w:ascii="Times New Roman" w:hAnsi="Times New Roman"/>
      <w:lang w:eastAsia="ja-JP"/>
    </w:rPr>
  </w:style>
  <w:style w:type="character" w:customStyle="1" w:styleId="EditorsNoteChar">
    <w:name w:val="Editor's Note Char"/>
    <w:link w:val="EditorsNote"/>
    <w:rsid w:val="00333676"/>
    <w:rPr>
      <w:rFonts w:ascii="Times New Roman" w:hAnsi="Times New Roman"/>
      <w:color w:val="FF0000"/>
      <w:lang w:val="x-none" w:eastAsia="x-none"/>
    </w:rPr>
  </w:style>
  <w:style w:type="paragraph" w:customStyle="1" w:styleId="EmailDiscussion">
    <w:name w:val="EmailDiscussion"/>
    <w:basedOn w:val="Normal"/>
    <w:next w:val="Normal"/>
    <w:rsid w:val="00333676"/>
    <w:pPr>
      <w:numPr>
        <w:numId w:val="14"/>
      </w:numPr>
      <w:spacing w:before="40" w:after="0"/>
    </w:pPr>
    <w:rPr>
      <w:rFonts w:ascii="Arial" w:eastAsia="MS Mincho" w:hAnsi="Arial"/>
      <w:b/>
      <w:szCs w:val="24"/>
      <w:lang w:eastAsia="en-GB"/>
    </w:rPr>
  </w:style>
  <w:style w:type="character" w:styleId="Emphasis">
    <w:name w:val="Emphasis"/>
    <w:qFormat/>
    <w:rsid w:val="00333676"/>
    <w:rPr>
      <w:i/>
      <w:iCs/>
    </w:rPr>
  </w:style>
  <w:style w:type="paragraph" w:customStyle="1" w:styleId="FigureTitle">
    <w:name w:val="Figure_Title"/>
    <w:basedOn w:val="Normal"/>
    <w:next w:val="Normal"/>
    <w:rsid w:val="0033367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33676"/>
    <w:rPr>
      <w:rFonts w:ascii="Arial" w:hAnsi="Arial"/>
      <w:b/>
      <w:noProof/>
      <w:sz w:val="18"/>
      <w:lang w:eastAsia="ja-JP"/>
    </w:rPr>
  </w:style>
  <w:style w:type="character" w:customStyle="1" w:styleId="FooterChar">
    <w:name w:val="Footer Char"/>
    <w:link w:val="Footer"/>
    <w:rsid w:val="00333676"/>
    <w:rPr>
      <w:rFonts w:ascii="Arial" w:hAnsi="Arial"/>
      <w:b/>
      <w:i/>
      <w:noProof/>
      <w:sz w:val="18"/>
      <w:lang w:eastAsia="ja-JP"/>
    </w:rPr>
  </w:style>
  <w:style w:type="character" w:customStyle="1" w:styleId="FootnoteTextChar">
    <w:name w:val="Footnote Text Char"/>
    <w:link w:val="FootnoteText"/>
    <w:rsid w:val="00333676"/>
    <w:rPr>
      <w:rFonts w:ascii="Times New Roman" w:hAnsi="Times New Roman"/>
      <w:sz w:val="16"/>
      <w:lang w:eastAsia="ja-JP"/>
    </w:rPr>
  </w:style>
  <w:style w:type="paragraph" w:customStyle="1" w:styleId="Guidance">
    <w:name w:val="Guidance"/>
    <w:basedOn w:val="Normal"/>
    <w:rsid w:val="00333676"/>
    <w:rPr>
      <w:i/>
      <w:color w:val="0000FF"/>
    </w:rPr>
  </w:style>
  <w:style w:type="character" w:customStyle="1" w:styleId="Heading2Char">
    <w:name w:val="Heading 2 Char"/>
    <w:link w:val="Heading2"/>
    <w:rsid w:val="00333676"/>
    <w:rPr>
      <w:rFonts w:ascii="Arial" w:hAnsi="Arial"/>
      <w:sz w:val="32"/>
      <w:lang w:eastAsia="ja-JP"/>
    </w:rPr>
  </w:style>
  <w:style w:type="character" w:customStyle="1" w:styleId="Heading3Char">
    <w:name w:val="Heading 3 Char"/>
    <w:link w:val="Heading3"/>
    <w:rsid w:val="00333676"/>
    <w:rPr>
      <w:rFonts w:ascii="Arial" w:hAnsi="Arial"/>
      <w:sz w:val="28"/>
      <w:lang w:eastAsia="ja-JP"/>
    </w:rPr>
  </w:style>
  <w:style w:type="character" w:customStyle="1" w:styleId="Heading4Char">
    <w:name w:val="Heading 4 Char"/>
    <w:link w:val="Heading4"/>
    <w:rsid w:val="00333676"/>
    <w:rPr>
      <w:rFonts w:ascii="Arial" w:hAnsi="Arial"/>
      <w:sz w:val="24"/>
      <w:lang w:eastAsia="ja-JP"/>
    </w:rPr>
  </w:style>
  <w:style w:type="character" w:customStyle="1" w:styleId="Heading5Char">
    <w:name w:val="Heading 5 Char"/>
    <w:link w:val="Heading5"/>
    <w:rsid w:val="00333676"/>
    <w:rPr>
      <w:rFonts w:ascii="Arial" w:hAnsi="Arial"/>
      <w:sz w:val="22"/>
      <w:lang w:eastAsia="ja-JP"/>
    </w:rPr>
  </w:style>
  <w:style w:type="paragraph" w:customStyle="1" w:styleId="H6">
    <w:name w:val="H6"/>
    <w:basedOn w:val="Heading5"/>
    <w:next w:val="Normal"/>
    <w:rsid w:val="00333676"/>
    <w:pPr>
      <w:ind w:left="1985" w:hanging="1985"/>
      <w:outlineLvl w:val="9"/>
    </w:pPr>
    <w:rPr>
      <w:sz w:val="20"/>
    </w:rPr>
  </w:style>
  <w:style w:type="character" w:customStyle="1" w:styleId="Heading6Char">
    <w:name w:val="Heading 6 Char"/>
    <w:link w:val="Heading6"/>
    <w:rsid w:val="00333676"/>
    <w:rPr>
      <w:rFonts w:ascii="Arial" w:hAnsi="Arial"/>
      <w:lang w:eastAsia="ja-JP"/>
    </w:rPr>
  </w:style>
  <w:style w:type="character" w:customStyle="1" w:styleId="Heading7Char">
    <w:name w:val="Heading 7 Char"/>
    <w:link w:val="Heading7"/>
    <w:rsid w:val="00333676"/>
    <w:rPr>
      <w:rFonts w:ascii="Arial" w:hAnsi="Arial"/>
      <w:lang w:eastAsia="ja-JP"/>
    </w:rPr>
  </w:style>
  <w:style w:type="character" w:customStyle="1" w:styleId="Heading8Char">
    <w:name w:val="Heading 8 Char"/>
    <w:link w:val="Heading8"/>
    <w:rsid w:val="00333676"/>
    <w:rPr>
      <w:rFonts w:ascii="Arial" w:hAnsi="Arial"/>
      <w:sz w:val="36"/>
      <w:lang w:eastAsia="ja-JP"/>
    </w:rPr>
  </w:style>
  <w:style w:type="character" w:customStyle="1" w:styleId="Heading9Char">
    <w:name w:val="Heading 9 Char"/>
    <w:link w:val="Heading9"/>
    <w:rsid w:val="00333676"/>
    <w:rPr>
      <w:rFonts w:ascii="Arial" w:hAnsi="Arial"/>
      <w:sz w:val="36"/>
      <w:lang w:eastAsia="ja-JP"/>
    </w:rPr>
  </w:style>
  <w:style w:type="character" w:styleId="HTMLCode">
    <w:name w:val="HTML Code"/>
    <w:uiPriority w:val="99"/>
    <w:unhideWhenUsed/>
    <w:rsid w:val="00333676"/>
    <w:rPr>
      <w:rFonts w:ascii="Courier New" w:eastAsia="Times New Roman" w:hAnsi="Courier New" w:cs="Courier New"/>
      <w:sz w:val="20"/>
      <w:szCs w:val="20"/>
    </w:rPr>
  </w:style>
  <w:style w:type="paragraph" w:styleId="IndexHeading">
    <w:name w:val="index heading"/>
    <w:basedOn w:val="Normal"/>
    <w:next w:val="Normal"/>
    <w:rsid w:val="00333676"/>
    <w:pPr>
      <w:pBdr>
        <w:top w:val="single" w:sz="12" w:space="0" w:color="auto"/>
      </w:pBdr>
      <w:spacing w:before="360" w:after="240"/>
    </w:pPr>
    <w:rPr>
      <w:b/>
      <w:i/>
      <w:sz w:val="26"/>
      <w:lang w:eastAsia="en-GB"/>
    </w:rPr>
  </w:style>
  <w:style w:type="paragraph" w:customStyle="1" w:styleId="LD">
    <w:name w:val="LD"/>
    <w:rsid w:val="0033367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3367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33676"/>
    <w:rPr>
      <w:rFonts w:ascii="Calibri" w:eastAsia="Calibri" w:hAnsi="Calibri"/>
      <w:sz w:val="22"/>
      <w:szCs w:val="22"/>
      <w:lang w:val="x-none" w:eastAsia="en-US"/>
    </w:rPr>
  </w:style>
  <w:style w:type="paragraph" w:customStyle="1" w:styleId="NF">
    <w:name w:val="NF"/>
    <w:basedOn w:val="NO"/>
    <w:rsid w:val="00333676"/>
    <w:pPr>
      <w:keepNext/>
      <w:spacing w:after="0"/>
    </w:pPr>
    <w:rPr>
      <w:rFonts w:ascii="Arial" w:hAnsi="Arial"/>
      <w:sz w:val="18"/>
    </w:rPr>
  </w:style>
  <w:style w:type="paragraph" w:customStyle="1" w:styleId="NW">
    <w:name w:val="NW"/>
    <w:basedOn w:val="NO"/>
    <w:rsid w:val="00333676"/>
    <w:pPr>
      <w:spacing w:after="0"/>
    </w:pPr>
  </w:style>
  <w:style w:type="paragraph" w:customStyle="1" w:styleId="PL">
    <w:name w:val="PL"/>
    <w:link w:val="PLChar"/>
    <w:qFormat/>
    <w:rsid w:val="00333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33676"/>
    <w:rPr>
      <w:rFonts w:ascii="Courier New" w:eastAsia="Batang" w:hAnsi="Courier New"/>
      <w:noProof/>
      <w:sz w:val="16"/>
      <w:shd w:val="clear" w:color="auto" w:fill="E6E6E6"/>
      <w:lang w:eastAsia="sv-SE"/>
    </w:rPr>
  </w:style>
  <w:style w:type="paragraph" w:styleId="PlainText">
    <w:name w:val="Plain Text"/>
    <w:basedOn w:val="Normal"/>
    <w:link w:val="PlainTextChar"/>
    <w:rsid w:val="00333676"/>
    <w:rPr>
      <w:rFonts w:ascii="Courier New" w:hAnsi="Courier New"/>
      <w:lang w:val="nb-NO"/>
    </w:rPr>
  </w:style>
  <w:style w:type="character" w:customStyle="1" w:styleId="PlainTextChar">
    <w:name w:val="Plain Text Char"/>
    <w:link w:val="PlainText"/>
    <w:rsid w:val="00333676"/>
    <w:rPr>
      <w:rFonts w:ascii="Courier New" w:hAnsi="Courier New"/>
      <w:lang w:val="nb-NO" w:eastAsia="ja-JP"/>
    </w:rPr>
  </w:style>
  <w:style w:type="character" w:styleId="Strong">
    <w:name w:val="Strong"/>
    <w:uiPriority w:val="22"/>
    <w:qFormat/>
    <w:rsid w:val="00333676"/>
    <w:rPr>
      <w:b/>
      <w:bCs/>
    </w:rPr>
  </w:style>
  <w:style w:type="table" w:styleId="TableGrid">
    <w:name w:val="Table Grid"/>
    <w:basedOn w:val="TableNormal"/>
    <w:rsid w:val="0033367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33676"/>
    <w:rPr>
      <w:rFonts w:ascii="Arial" w:hAnsi="Arial"/>
      <w:sz w:val="18"/>
      <w:lang w:val="x-none" w:eastAsia="x-none"/>
    </w:rPr>
  </w:style>
  <w:style w:type="character" w:customStyle="1" w:styleId="TAHCar">
    <w:name w:val="TAH Car"/>
    <w:link w:val="TAH"/>
    <w:locked/>
    <w:rsid w:val="00333676"/>
    <w:rPr>
      <w:rFonts w:ascii="Arial" w:hAnsi="Arial"/>
      <w:b/>
      <w:sz w:val="18"/>
      <w:lang w:val="x-none" w:eastAsia="x-none"/>
    </w:rPr>
  </w:style>
  <w:style w:type="character" w:customStyle="1" w:styleId="THChar">
    <w:name w:val="TH Char"/>
    <w:link w:val="TH"/>
    <w:rsid w:val="00333676"/>
    <w:rPr>
      <w:rFonts w:ascii="Arial" w:hAnsi="Arial"/>
      <w:b/>
      <w:lang w:val="x-none" w:eastAsia="x-none"/>
    </w:rPr>
  </w:style>
  <w:style w:type="paragraph" w:customStyle="1" w:styleId="TAJ">
    <w:name w:val="TAJ"/>
    <w:basedOn w:val="TH"/>
    <w:rsid w:val="00333676"/>
  </w:style>
  <w:style w:type="paragraph" w:customStyle="1" w:styleId="TALCharChar">
    <w:name w:val="TAL Char Char"/>
    <w:basedOn w:val="Normal"/>
    <w:link w:val="TALCharCharChar"/>
    <w:rsid w:val="0033367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33676"/>
    <w:rPr>
      <w:rFonts w:ascii="Arial" w:eastAsia="Malgun Gothic" w:hAnsi="Arial"/>
      <w:sz w:val="18"/>
      <w:lang w:val="x-none" w:eastAsia="x-none"/>
    </w:rPr>
  </w:style>
  <w:style w:type="character" w:customStyle="1" w:styleId="TFChar">
    <w:name w:val="TF Char"/>
    <w:link w:val="TF"/>
    <w:rsid w:val="00333676"/>
    <w:rPr>
      <w:rFonts w:ascii="Arial" w:hAnsi="Arial"/>
      <w:b/>
      <w:lang w:val="x-none" w:eastAsia="x-none"/>
    </w:rPr>
  </w:style>
  <w:style w:type="paragraph" w:styleId="ListContinue">
    <w:name w:val="List Continue"/>
    <w:basedOn w:val="Normal"/>
    <w:rsid w:val="00333676"/>
    <w:pPr>
      <w:spacing w:after="120"/>
      <w:ind w:left="283"/>
      <w:contextualSpacing/>
    </w:pPr>
    <w:rPr>
      <w:rFonts w:ascii="Arial" w:hAnsi="Arial"/>
    </w:rPr>
  </w:style>
  <w:style w:type="paragraph" w:styleId="ListContinue2">
    <w:name w:val="List Continue 2"/>
    <w:basedOn w:val="Normal"/>
    <w:rsid w:val="00333676"/>
    <w:pPr>
      <w:spacing w:after="120"/>
      <w:ind w:left="566"/>
      <w:contextualSpacing/>
    </w:pPr>
    <w:rPr>
      <w:rFonts w:ascii="Arial" w:hAnsi="Arial"/>
    </w:rPr>
  </w:style>
  <w:style w:type="paragraph" w:styleId="ListNumber3">
    <w:name w:val="List Number 3"/>
    <w:basedOn w:val="ListNumber2"/>
    <w:rsid w:val="00333676"/>
    <w:pPr>
      <w:numPr>
        <w:numId w:val="10"/>
      </w:numPr>
      <w:contextualSpacing/>
    </w:pPr>
  </w:style>
  <w:style w:type="character" w:styleId="UnresolvedMention">
    <w:name w:val="Unresolved Mention"/>
    <w:basedOn w:val="DefaultParagraphFont"/>
    <w:uiPriority w:val="99"/>
    <w:semiHidden/>
    <w:unhideWhenUsed/>
    <w:rsid w:val="00333676"/>
    <w:rPr>
      <w:color w:val="808080"/>
      <w:shd w:val="clear" w:color="auto" w:fill="E6E6E6"/>
    </w:rPr>
  </w:style>
  <w:style w:type="table" w:customStyle="1" w:styleId="TableGrid1">
    <w:name w:val="Table Grid1"/>
    <w:basedOn w:val="TableNormal"/>
    <w:next w:val="TableGrid"/>
    <w:rsid w:val="00672C1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672C15"/>
    <w:rPr>
      <w:rFonts w:ascii="Arial" w:hAnsi="Arial"/>
      <w:lang w:eastAsia="zh-CN"/>
    </w:rPr>
  </w:style>
  <w:style w:type="paragraph" w:styleId="Revision">
    <w:name w:val="Revision"/>
    <w:hidden/>
    <w:uiPriority w:val="99"/>
    <w:semiHidden/>
    <w:rsid w:val="001C079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8247">
      <w:bodyDiv w:val="1"/>
      <w:marLeft w:val="0"/>
      <w:marRight w:val="0"/>
      <w:marTop w:val="0"/>
      <w:marBottom w:val="0"/>
      <w:divBdr>
        <w:top w:val="none" w:sz="0" w:space="0" w:color="auto"/>
        <w:left w:val="none" w:sz="0" w:space="0" w:color="auto"/>
        <w:bottom w:val="none" w:sz="0" w:space="0" w:color="auto"/>
        <w:right w:val="none" w:sz="0" w:space="0" w:color="auto"/>
      </w:divBdr>
    </w:div>
    <w:div w:id="495725532">
      <w:bodyDiv w:val="1"/>
      <w:marLeft w:val="0"/>
      <w:marRight w:val="0"/>
      <w:marTop w:val="0"/>
      <w:marBottom w:val="0"/>
      <w:divBdr>
        <w:top w:val="none" w:sz="0" w:space="0" w:color="auto"/>
        <w:left w:val="none" w:sz="0" w:space="0" w:color="auto"/>
        <w:bottom w:val="none" w:sz="0" w:space="0" w:color="auto"/>
        <w:right w:val="none" w:sz="0" w:space="0" w:color="auto"/>
      </w:divBdr>
    </w:div>
    <w:div w:id="586688940">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34833054">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398697">
      <w:bodyDiv w:val="1"/>
      <w:marLeft w:val="0"/>
      <w:marRight w:val="0"/>
      <w:marTop w:val="0"/>
      <w:marBottom w:val="0"/>
      <w:divBdr>
        <w:top w:val="none" w:sz="0" w:space="0" w:color="auto"/>
        <w:left w:val="none" w:sz="0" w:space="0" w:color="auto"/>
        <w:bottom w:val="none" w:sz="0" w:space="0" w:color="auto"/>
        <w:right w:val="none" w:sz="0" w:space="0" w:color="auto"/>
      </w:divBdr>
      <w:divsChild>
        <w:div w:id="1902254574">
          <w:marLeft w:val="547"/>
          <w:marRight w:val="0"/>
          <w:marTop w:val="60"/>
          <w:marBottom w:val="0"/>
          <w:divBdr>
            <w:top w:val="none" w:sz="0" w:space="0" w:color="auto"/>
            <w:left w:val="none" w:sz="0" w:space="0" w:color="auto"/>
            <w:bottom w:val="none" w:sz="0" w:space="0" w:color="auto"/>
            <w:right w:val="none" w:sz="0" w:space="0" w:color="auto"/>
          </w:divBdr>
        </w:div>
        <w:div w:id="1431122895">
          <w:marLeft w:val="547"/>
          <w:marRight w:val="0"/>
          <w:marTop w:val="60"/>
          <w:marBottom w:val="0"/>
          <w:divBdr>
            <w:top w:val="none" w:sz="0" w:space="0" w:color="auto"/>
            <w:left w:val="none" w:sz="0" w:space="0" w:color="auto"/>
            <w:bottom w:val="none" w:sz="0" w:space="0" w:color="auto"/>
            <w:right w:val="none" w:sz="0" w:space="0" w:color="auto"/>
          </w:divBdr>
        </w:div>
        <w:div w:id="2022313178">
          <w:marLeft w:val="1123"/>
          <w:marRight w:val="0"/>
          <w:marTop w:val="60"/>
          <w:marBottom w:val="0"/>
          <w:divBdr>
            <w:top w:val="none" w:sz="0" w:space="0" w:color="auto"/>
            <w:left w:val="none" w:sz="0" w:space="0" w:color="auto"/>
            <w:bottom w:val="none" w:sz="0" w:space="0" w:color="auto"/>
            <w:right w:val="none" w:sz="0" w:space="0" w:color="auto"/>
          </w:divBdr>
        </w:div>
        <w:div w:id="1468470983">
          <w:marLeft w:val="1123"/>
          <w:marRight w:val="0"/>
          <w:marTop w:val="60"/>
          <w:marBottom w:val="0"/>
          <w:divBdr>
            <w:top w:val="none" w:sz="0" w:space="0" w:color="auto"/>
            <w:left w:val="none" w:sz="0" w:space="0" w:color="auto"/>
            <w:bottom w:val="none" w:sz="0" w:space="0" w:color="auto"/>
            <w:right w:val="none" w:sz="0" w:space="0" w:color="auto"/>
          </w:divBdr>
        </w:div>
        <w:div w:id="111948688">
          <w:marLeft w:val="1699"/>
          <w:marRight w:val="0"/>
          <w:marTop w:val="60"/>
          <w:marBottom w:val="0"/>
          <w:divBdr>
            <w:top w:val="none" w:sz="0" w:space="0" w:color="auto"/>
            <w:left w:val="none" w:sz="0" w:space="0" w:color="auto"/>
            <w:bottom w:val="none" w:sz="0" w:space="0" w:color="auto"/>
            <w:right w:val="none" w:sz="0" w:space="0" w:color="auto"/>
          </w:divBdr>
        </w:div>
        <w:div w:id="1576013455">
          <w:marLeft w:val="1123"/>
          <w:marRight w:val="0"/>
          <w:marTop w:val="60"/>
          <w:marBottom w:val="0"/>
          <w:divBdr>
            <w:top w:val="none" w:sz="0" w:space="0" w:color="auto"/>
            <w:left w:val="none" w:sz="0" w:space="0" w:color="auto"/>
            <w:bottom w:val="none" w:sz="0" w:space="0" w:color="auto"/>
            <w:right w:val="none" w:sz="0" w:space="0" w:color="auto"/>
          </w:divBdr>
        </w:div>
        <w:div w:id="1162543288">
          <w:marLeft w:val="1699"/>
          <w:marRight w:val="0"/>
          <w:marTop w:val="60"/>
          <w:marBottom w:val="0"/>
          <w:divBdr>
            <w:top w:val="none" w:sz="0" w:space="0" w:color="auto"/>
            <w:left w:val="none" w:sz="0" w:space="0" w:color="auto"/>
            <w:bottom w:val="none" w:sz="0" w:space="0" w:color="auto"/>
            <w:right w:val="none" w:sz="0" w:space="0" w:color="auto"/>
          </w:divBdr>
        </w:div>
        <w:div w:id="661349139">
          <w:marLeft w:val="1123"/>
          <w:marRight w:val="0"/>
          <w:marTop w:val="60"/>
          <w:marBottom w:val="0"/>
          <w:divBdr>
            <w:top w:val="none" w:sz="0" w:space="0" w:color="auto"/>
            <w:left w:val="none" w:sz="0" w:space="0" w:color="auto"/>
            <w:bottom w:val="none" w:sz="0" w:space="0" w:color="auto"/>
            <w:right w:val="none" w:sz="0" w:space="0" w:color="auto"/>
          </w:divBdr>
        </w:div>
        <w:div w:id="912398874">
          <w:marLeft w:val="1123"/>
          <w:marRight w:val="0"/>
          <w:marTop w:val="60"/>
          <w:marBottom w:val="0"/>
          <w:divBdr>
            <w:top w:val="none" w:sz="0" w:space="0" w:color="auto"/>
            <w:left w:val="none" w:sz="0" w:space="0" w:color="auto"/>
            <w:bottom w:val="none" w:sz="0" w:space="0" w:color="auto"/>
            <w:right w:val="none" w:sz="0" w:space="0" w:color="auto"/>
          </w:divBdr>
        </w:div>
      </w:divsChild>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50742714">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14711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png@01D59499.099D527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0878B-FDD3-4055-8ABA-F43DC1E1C126}">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865E541-80ED-40DA-B736-1409B86D7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AC964-0DFE-46BF-A0B5-B5B4A8453CB6}">
  <ds:schemaRefs>
    <ds:schemaRef ds:uri="http://schemas.microsoft.com/sharepoint/v3/contenttype/forms"/>
  </ds:schemaRefs>
</ds:datastoreItem>
</file>

<file path=customXml/itemProps4.xml><?xml version="1.0" encoding="utf-8"?>
<ds:datastoreItem xmlns:ds="http://schemas.openxmlformats.org/officeDocument/2006/customXml" ds:itemID="{85945BCB-CF4D-6845-9169-BB6D269C8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C:\Users\eosmyil\Desktop\Templates\Ry-xxxxxx Contribution Template.dotx</Template>
  <TotalTime>808</TotalTime>
  <Pages>6</Pages>
  <Words>2776</Words>
  <Characters>15825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74</cp:revision>
  <cp:lastPrinted>2008-01-31T07:09:00Z</cp:lastPrinted>
  <dcterms:created xsi:type="dcterms:W3CDTF">2019-09-26T11:20:00Z</dcterms:created>
  <dcterms:modified xsi:type="dcterms:W3CDTF">2019-11-07T21:11:00Z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ContentTypeId">
    <vt:lpwstr>0x010100F3E9551B3FDDA24EBF0A209BAAD637CA</vt:lpwstr>
  </property>
  <property fmtid="{D5CDD505-2E9C-101B-9397-08002B2CF9AE}" pid="5" name="_dlc_DocIdItemGuid">
    <vt:lpwstr>e7268c86-537b-4a51-a547-e240e7c85a30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632">
    <vt:lpwstr>246</vt:lpwstr>
  </property>
  <property fmtid="{D5CDD505-2E9C-101B-9397-08002B2CF9AE}" pid="15" name="AuthorIds_UIVersion_6144">
    <vt:lpwstr>73</vt:lpwstr>
  </property>
  <property fmtid="{D5CDD505-2E9C-101B-9397-08002B2CF9AE}" pid="16" name="AuthorIds_UIVersion_6656">
    <vt:lpwstr>73</vt:lpwstr>
  </property>
  <property fmtid="{D5CDD505-2E9C-101B-9397-08002B2CF9AE}" pid="17" name="AuthorIds_UIVersion_7168">
    <vt:lpwstr>73</vt:lpwstr>
  </property>
  <property fmtid="{D5CDD505-2E9C-101B-9397-08002B2CF9AE}" pid="18" name="AuthorIds_UIVersion_9728">
    <vt:lpwstr>73</vt:lpwstr>
  </property>
  <property fmtid="{D5CDD505-2E9C-101B-9397-08002B2CF9AE}" pid="19" name="AuthorIds_UIVersion_10752">
    <vt:lpwstr>73</vt:lpwstr>
  </property>
  <property fmtid="{D5CDD505-2E9C-101B-9397-08002B2CF9AE}" pid="20" name="AuthorIds_UIVersion_11776">
    <vt:lpwstr>246</vt:lpwstr>
  </property>
  <property fmtid="{D5CDD505-2E9C-101B-9397-08002B2CF9AE}" pid="21" name="AuthorIds_UIVersion_12800">
    <vt:lpwstr>73</vt:lpwstr>
  </property>
  <property fmtid="{D5CDD505-2E9C-101B-9397-08002B2CF9AE}" pid="22" name="AuthorIds_UIVersion_13824">
    <vt:lpwstr>73</vt:lpwstr>
  </property>
  <property fmtid="{D5CDD505-2E9C-101B-9397-08002B2CF9AE}" pid="23" name="AuthorIds_UIVersion_14336">
    <vt:lpwstr>357</vt:lpwstr>
  </property>
  <property fmtid="{D5CDD505-2E9C-101B-9397-08002B2CF9AE}" pid="24" name="AuthorIds_UIVersion_15360">
    <vt:lpwstr>246</vt:lpwstr>
  </property>
  <property fmtid="{D5CDD505-2E9C-101B-9397-08002B2CF9AE}" pid="25" name="AuthorIds_UIVersion_15872">
    <vt:lpwstr>40</vt:lpwstr>
  </property>
  <property fmtid="{D5CDD505-2E9C-101B-9397-08002B2CF9AE}" pid="26" name="AuthorIds_UIVersion_16384">
    <vt:lpwstr>40</vt:lpwstr>
  </property>
  <property fmtid="{D5CDD505-2E9C-101B-9397-08002B2CF9AE}" pid="27" name="AuthorIds_UIVersion_2048">
    <vt:lpwstr>73</vt:lpwstr>
  </property>
  <property fmtid="{D5CDD505-2E9C-101B-9397-08002B2CF9AE}" pid="28" name="AuthorIds_UIVersion_3072">
    <vt:lpwstr>73</vt:lpwstr>
  </property>
  <property fmtid="{D5CDD505-2E9C-101B-9397-08002B2CF9AE}" pid="29" name="AuthorIds_UIVersion_3584">
    <vt:lpwstr>40</vt:lpwstr>
  </property>
  <property fmtid="{D5CDD505-2E9C-101B-9397-08002B2CF9AE}" pid="30" name="AuthorIds_UIVersion_5120">
    <vt:lpwstr>73</vt:lpwstr>
  </property>
  <property fmtid="{D5CDD505-2E9C-101B-9397-08002B2CF9AE}" pid="31" name="AuthorIds_UIVersion_7680">
    <vt:lpwstr>73</vt:lpwstr>
  </property>
  <property fmtid="{D5CDD505-2E9C-101B-9397-08002B2CF9AE}" pid="32" name="AuthorIds_UIVersion_8192">
    <vt:lpwstr>40</vt:lpwstr>
  </property>
  <property fmtid="{D5CDD505-2E9C-101B-9397-08002B2CF9AE}" pid="33" name="Order">
    <vt:r8>10142500</vt:r8>
  </property>
  <property fmtid="{D5CDD505-2E9C-101B-9397-08002B2CF9AE}" pid="34" name="xd_Signature">
    <vt:bool>false</vt:bool>
  </property>
  <property fmtid="{D5CDD505-2E9C-101B-9397-08002B2CF9AE}" pid="35" name="xd_ProgID">
    <vt:lpwstr/>
  </property>
  <property fmtid="{D5CDD505-2E9C-101B-9397-08002B2CF9AE}" pid="36" name="_dlc_DocId">
    <vt:lpwstr>5NUHHDQN7SK2-1476151046-101425</vt:lpwstr>
  </property>
  <property fmtid="{D5CDD505-2E9C-101B-9397-08002B2CF9AE}" pid="37" name="TaxKeywordTaxHTField">
    <vt:lpwstr>3GPP|9a2d7407-05d0-42af-8d72-c0b9b807f3b0;TDoc|af4b50c5-3c78-4293-b1bd-3e717d5b6882;Ericsson|11111111-1111-1111-1111-111111111111</vt:lpwstr>
  </property>
  <property fmtid="{D5CDD505-2E9C-101B-9397-08002B2CF9AE}" pid="38" name="ComplianceAssetId">
    <vt:lpwstr/>
  </property>
  <property fmtid="{D5CDD505-2E9C-101B-9397-08002B2CF9AE}" pid="39" name="TemplateUrl">
    <vt:lpwstr/>
  </property>
  <property fmtid="{D5CDD505-2E9C-101B-9397-08002B2CF9AE}" pid="40" name="_dlc_DocIdUrl">
    <vt:lpwstr>https://ericsson.sharepoint.com/sites/star/_layouts/15/DocIdRedir.aspx?ID=5NUHHDQN7SK2-1476151046-101425, 5NUHHDQN7SK2-1476151046-101425</vt:lpwstr>
  </property>
</Properties>
</file>